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90060">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FMUSER FUQ-8351 Digital Transmitter 10W-100W Output DVB-T-ATSC-ISDB-T Input-Output Compliance LDMOS Amplifier AGC Control SFN-MFN Terrestrial Broadcasting</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40127091518"/>
            <wp:cNvGraphicFramePr/>
            <a:graphic xmlns:a="http://schemas.openxmlformats.org/drawingml/2006/main">
              <a:graphicData uri="http://schemas.openxmlformats.org/drawingml/2006/picture">
                <pic:pic xmlns:pic="http://schemas.openxmlformats.org/drawingml/2006/picture">
                  <pic:nvPicPr>
                    <pic:cNvPr id="1" name="图片 1" descr="3EEECN_20140127091518"/>
                    <pic:cNvPicPr/>
                  </pic:nvPicPr>
                  <pic:blipFill>
                    <a:blip r:embed="rId6"/>
                    <a:stretch>
                      <a:fillRect/>
                    </a:stretch>
                  </pic:blipFill>
                  <pic:spPr>
                    <a:xfrm>
                      <a:off x="0" y="0"/>
                      <a:ext cx="6181725" cy="3400425"/>
                    </a:xfrm>
                    <a:prstGeom prst="rect">
                      <a:avLst/>
                    </a:prstGeom>
                  </pic:spPr>
                </pic:pic>
              </a:graphicData>
            </a:graphic>
          </wp:inline>
        </w:drawing>
      </w:r>
      <w:bookmarkEnd w:id="0"/>
    </w:p>
    <w:p w14:paraId="565CBA8B">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24ECE0C4">
      <w:pPr>
        <w:pStyle w:val="6"/>
        <w:widowControl/>
        <w:spacing w:beforeAutospacing="0" w:afterAutospacing="0" w:line="324" w:lineRule="atLeast"/>
        <w:rPr>
          <w:rFonts w:hint="eastAsia"/>
          <w:lang w:eastAsia="zh-CN"/>
        </w:rPr>
      </w:pPr>
      <w:r>
        <w:rPr>
          <w:rFonts w:hint="eastAsia"/>
          <w:lang w:eastAsia="zh-CN"/>
        </w:rPr>
        <w:t>The FUQ-8351 is a DVB-T/ATSC/ISDB-T compliant digital transmitter with 10W-100W adjustable output via LDMOS amplification. It processes MPEG-2/4 signals with AGC stability, housed in a 482x504x132mm rack-mount chassis. Designed for SFN/MFN deployments, it supports 470-806MHz frequency range with LED alarm monitoring, ideal for terrestrial TV broadcasting and emergency backup systems.</w:t>
      </w:r>
    </w:p>
    <w:p w14:paraId="36C32872">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05D8FEEF">
      <w:pPr>
        <w:pStyle w:val="6"/>
        <w:widowControl/>
        <w:spacing w:beforeAutospacing="0" w:afterAutospacing="0" w:line="324" w:lineRule="atLeast"/>
      </w:pPr>
      <w:r>
        <w:rPr>
          <w:rFonts w:hint="eastAsia"/>
        </w:rPr>
        <w:t>Features real-time monitoring via LED alarms and fault self-diagnosis</w:t>
      </w:r>
    </w:p>
    <w:p w14:paraId="7B5B3A49">
      <w:pPr>
        <w:pStyle w:val="6"/>
        <w:widowControl/>
        <w:spacing w:beforeAutospacing="0" w:afterAutospacing="0" w:line="324" w:lineRule="atLeast"/>
      </w:pPr>
      <w:r>
        <w:rPr>
          <w:rFonts w:ascii="Verdana" w:hAnsi="Verdana" w:cs="Verdana"/>
          <w:color w:val="333333"/>
          <w:sz w:val="18"/>
          <w:szCs w:val="18"/>
          <w:shd w:val="clear" w:color="auto" w:fill="FEFCFD"/>
        </w:rPr>
        <w:t> </w:t>
      </w:r>
    </w:p>
    <w:p w14:paraId="674078E1">
      <w:pPr>
        <w:pStyle w:val="6"/>
        <w:widowControl/>
        <w:spacing w:beforeAutospacing="0" w:afterAutospacing="0" w:line="324" w:lineRule="atLeast"/>
      </w:pPr>
      <w:r>
        <w:rPr>
          <w:rStyle w:val="10"/>
          <w:rFonts w:ascii="Verdana" w:hAnsi="Verdana" w:cs="Verdana"/>
          <w:color w:val="333333"/>
          <w:sz w:val="18"/>
          <w:szCs w:val="18"/>
          <w:shd w:val="clear" w:color="auto" w:fill="FEFCFD"/>
        </w:rPr>
        <w:t>Monitoring Objects and Alarm Status</w:t>
      </w:r>
    </w:p>
    <w:p w14:paraId="1ECB3F6A">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2C9A48E">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018"/>
        <w:gridCol w:w="4732"/>
      </w:tblGrid>
      <w:tr w14:paraId="358C5D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5AAD04DC">
            <w:pPr>
              <w:pStyle w:val="6"/>
              <w:widowControl/>
              <w:spacing w:beforeAutospacing="0" w:afterAutospacing="0" w:line="324" w:lineRule="atLeast"/>
            </w:pPr>
            <w:r>
              <w:rPr>
                <w:rStyle w:val="10"/>
              </w:rPr>
              <w:t>Monitoring Objects</w:t>
            </w:r>
          </w:p>
        </w:tc>
        <w:tc>
          <w:tcPr>
            <w:tcW w:w="3960" w:type="dxa"/>
            <w:shd w:val="clear" w:color="auto" w:fill="auto"/>
            <w:vAlign w:val="center"/>
          </w:tcPr>
          <w:p w14:paraId="106EF23C">
            <w:pPr>
              <w:pStyle w:val="6"/>
              <w:widowControl/>
              <w:spacing w:beforeAutospacing="0" w:afterAutospacing="0" w:line="324" w:lineRule="atLeast"/>
            </w:pPr>
            <w:r>
              <w:rPr>
                <w:rStyle w:val="10"/>
              </w:rPr>
              <w:t>Alarm Status</w:t>
            </w:r>
          </w:p>
        </w:tc>
      </w:tr>
      <w:tr w14:paraId="10CB56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203336C9">
            <w:pPr>
              <w:pStyle w:val="6"/>
              <w:widowControl/>
              <w:spacing w:beforeAutospacing="0" w:afterAutospacing="0" w:line="324" w:lineRule="atLeast"/>
            </w:pPr>
            <w:r>
              <w:t>Power Supply</w:t>
            </w:r>
          </w:p>
        </w:tc>
        <w:tc>
          <w:tcPr>
            <w:tcW w:w="3960" w:type="dxa"/>
            <w:shd w:val="clear" w:color="auto" w:fill="auto"/>
            <w:vAlign w:val="center"/>
          </w:tcPr>
          <w:p w14:paraId="61415C1F">
            <w:pPr>
              <w:pStyle w:val="6"/>
              <w:widowControl/>
              <w:spacing w:beforeAutospacing="0" w:afterAutospacing="0" w:line="324" w:lineRule="atLeast"/>
            </w:pPr>
            <w:r>
              <w:t>abnormal</w:t>
            </w:r>
          </w:p>
        </w:tc>
      </w:tr>
      <w:tr w14:paraId="4781D4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18836525">
            <w:pPr>
              <w:pStyle w:val="6"/>
              <w:widowControl/>
              <w:spacing w:beforeAutospacing="0" w:afterAutospacing="0" w:line="324" w:lineRule="atLeast"/>
            </w:pPr>
            <w:r>
              <w:t>Overheating</w:t>
            </w:r>
          </w:p>
        </w:tc>
        <w:tc>
          <w:tcPr>
            <w:tcW w:w="3960" w:type="dxa"/>
            <w:shd w:val="clear" w:color="auto" w:fill="auto"/>
            <w:vAlign w:val="center"/>
          </w:tcPr>
          <w:p w14:paraId="4C2C9A85">
            <w:pPr>
              <w:pStyle w:val="6"/>
              <w:widowControl/>
              <w:spacing w:beforeAutospacing="0" w:afterAutospacing="0" w:line="324" w:lineRule="atLeast"/>
            </w:pPr>
            <w:r>
              <w:t>alert</w:t>
            </w:r>
          </w:p>
        </w:tc>
      </w:tr>
      <w:tr w14:paraId="140240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456E2425">
            <w:pPr>
              <w:pStyle w:val="6"/>
              <w:widowControl/>
              <w:spacing w:beforeAutospacing="0" w:afterAutospacing="0" w:line="324" w:lineRule="atLeast"/>
            </w:pPr>
            <w:r>
              <w:t>Amplifier</w:t>
            </w:r>
          </w:p>
        </w:tc>
        <w:tc>
          <w:tcPr>
            <w:tcW w:w="3960" w:type="dxa"/>
            <w:shd w:val="clear" w:color="auto" w:fill="auto"/>
            <w:vAlign w:val="center"/>
          </w:tcPr>
          <w:p w14:paraId="6E51C6FC">
            <w:pPr>
              <w:pStyle w:val="6"/>
              <w:widowControl/>
              <w:spacing w:beforeAutospacing="0" w:afterAutospacing="0" w:line="324" w:lineRule="atLeast"/>
            </w:pPr>
            <w:r>
              <w:t>abnormal</w:t>
            </w:r>
          </w:p>
        </w:tc>
      </w:tr>
      <w:tr w14:paraId="42457F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403DEAF8">
            <w:pPr>
              <w:pStyle w:val="6"/>
              <w:widowControl/>
              <w:spacing w:beforeAutospacing="0" w:afterAutospacing="0" w:line="324" w:lineRule="atLeast"/>
            </w:pPr>
            <w:r>
              <w:t>Antenna feed system</w:t>
            </w:r>
          </w:p>
        </w:tc>
        <w:tc>
          <w:tcPr>
            <w:tcW w:w="3960" w:type="dxa"/>
            <w:shd w:val="clear" w:color="auto" w:fill="auto"/>
            <w:vAlign w:val="center"/>
          </w:tcPr>
          <w:p w14:paraId="0928158A">
            <w:pPr>
              <w:pStyle w:val="6"/>
              <w:widowControl/>
              <w:spacing w:beforeAutospacing="0" w:afterAutospacing="0" w:line="324" w:lineRule="atLeast"/>
            </w:pPr>
            <w:r>
              <w:t>abnormal</w:t>
            </w:r>
          </w:p>
        </w:tc>
      </w:tr>
    </w:tbl>
    <w:p w14:paraId="027C9472">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Phase noise</w:t>
      </w:r>
    </w:p>
    <w:p w14:paraId="1F08FE47">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4849"/>
        <w:gridCol w:w="4901"/>
      </w:tblGrid>
      <w:tr w14:paraId="31354E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627396B0">
            <w:pPr>
              <w:pStyle w:val="6"/>
              <w:widowControl/>
              <w:spacing w:beforeAutospacing="0" w:afterAutospacing="0" w:line="324" w:lineRule="atLeast"/>
              <w:jc w:val="center"/>
            </w:pPr>
            <w:r>
              <w:t>Center frequency deviation (Hz)</w:t>
            </w:r>
          </w:p>
        </w:tc>
        <w:tc>
          <w:tcPr>
            <w:tcW w:w="4260" w:type="dxa"/>
            <w:shd w:val="clear" w:color="auto" w:fill="auto"/>
            <w:vAlign w:val="center"/>
          </w:tcPr>
          <w:p w14:paraId="2BC1466A">
            <w:pPr>
              <w:pStyle w:val="6"/>
              <w:widowControl/>
              <w:spacing w:beforeAutospacing="0" w:afterAutospacing="0" w:line="324" w:lineRule="atLeast"/>
              <w:jc w:val="center"/>
            </w:pPr>
            <w:r>
              <w:t>Local oscillator (dBc/Hz)</w:t>
            </w:r>
          </w:p>
        </w:tc>
      </w:tr>
      <w:tr w14:paraId="116796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4D4785A5">
            <w:pPr>
              <w:pStyle w:val="6"/>
              <w:widowControl/>
              <w:spacing w:beforeAutospacing="0" w:afterAutospacing="0" w:line="324" w:lineRule="atLeast"/>
              <w:jc w:val="center"/>
            </w:pPr>
            <w:r>
              <w:t>@10</w:t>
            </w:r>
          </w:p>
        </w:tc>
        <w:tc>
          <w:tcPr>
            <w:tcW w:w="4260" w:type="dxa"/>
            <w:shd w:val="clear" w:color="auto" w:fill="auto"/>
            <w:vAlign w:val="center"/>
          </w:tcPr>
          <w:p w14:paraId="463851FB">
            <w:pPr>
              <w:pStyle w:val="6"/>
              <w:widowControl/>
              <w:spacing w:beforeAutospacing="0" w:afterAutospacing="0" w:line="324" w:lineRule="atLeast"/>
            </w:pPr>
            <w:r>
              <w:t>                    ≤ - 70</w:t>
            </w:r>
          </w:p>
        </w:tc>
      </w:tr>
      <w:tr w14:paraId="403F42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1831DA98">
            <w:pPr>
              <w:pStyle w:val="6"/>
              <w:widowControl/>
              <w:spacing w:beforeAutospacing="0" w:afterAutospacing="0" w:line="324" w:lineRule="atLeast"/>
              <w:jc w:val="center"/>
            </w:pPr>
            <w:r>
              <w:t>@100</w:t>
            </w:r>
          </w:p>
        </w:tc>
        <w:tc>
          <w:tcPr>
            <w:tcW w:w="4260" w:type="dxa"/>
            <w:shd w:val="clear" w:color="auto" w:fill="auto"/>
            <w:vAlign w:val="center"/>
          </w:tcPr>
          <w:p w14:paraId="3C156965">
            <w:pPr>
              <w:pStyle w:val="6"/>
              <w:widowControl/>
              <w:spacing w:beforeAutospacing="0" w:afterAutospacing="0" w:line="324" w:lineRule="atLeast"/>
            </w:pPr>
            <w:r>
              <w:t>                    ≤ - 85</w:t>
            </w:r>
          </w:p>
        </w:tc>
      </w:tr>
      <w:tr w14:paraId="552E25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567FB060">
            <w:pPr>
              <w:pStyle w:val="6"/>
              <w:widowControl/>
              <w:spacing w:beforeAutospacing="0" w:afterAutospacing="0" w:line="324" w:lineRule="atLeast"/>
              <w:jc w:val="center"/>
            </w:pPr>
            <w:r>
              <w:t>@1k</w:t>
            </w:r>
          </w:p>
        </w:tc>
        <w:tc>
          <w:tcPr>
            <w:tcW w:w="4260" w:type="dxa"/>
            <w:shd w:val="clear" w:color="auto" w:fill="auto"/>
            <w:vAlign w:val="center"/>
          </w:tcPr>
          <w:p w14:paraId="07E06A24">
            <w:pPr>
              <w:pStyle w:val="6"/>
              <w:widowControl/>
              <w:spacing w:beforeAutospacing="0" w:afterAutospacing="0" w:line="324" w:lineRule="atLeast"/>
              <w:jc w:val="center"/>
            </w:pPr>
            <w:r>
              <w:t> ≤ - 95</w:t>
            </w:r>
          </w:p>
        </w:tc>
      </w:tr>
      <w:tr w14:paraId="09F111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4CE7E7AD">
            <w:pPr>
              <w:pStyle w:val="6"/>
              <w:widowControl/>
              <w:spacing w:beforeAutospacing="0" w:afterAutospacing="0" w:line="324" w:lineRule="atLeast"/>
              <w:jc w:val="center"/>
            </w:pPr>
            <w:r>
              <w:t>@10 k</w:t>
            </w:r>
          </w:p>
        </w:tc>
        <w:tc>
          <w:tcPr>
            <w:tcW w:w="4260" w:type="dxa"/>
            <w:shd w:val="clear" w:color="auto" w:fill="auto"/>
            <w:vAlign w:val="center"/>
          </w:tcPr>
          <w:p w14:paraId="0990B3CE">
            <w:pPr>
              <w:pStyle w:val="6"/>
              <w:widowControl/>
              <w:spacing w:beforeAutospacing="0" w:afterAutospacing="0" w:line="324" w:lineRule="atLeast"/>
              <w:jc w:val="center"/>
            </w:pPr>
            <w:r>
              <w:t> ≤ - 100</w:t>
            </w:r>
          </w:p>
        </w:tc>
      </w:tr>
      <w:tr w14:paraId="775266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10ACD1C8">
            <w:pPr>
              <w:pStyle w:val="6"/>
              <w:widowControl/>
              <w:spacing w:beforeAutospacing="0" w:afterAutospacing="0" w:line="324" w:lineRule="atLeast"/>
              <w:jc w:val="center"/>
            </w:pPr>
            <w:r>
              <w:t>@100 k</w:t>
            </w:r>
          </w:p>
        </w:tc>
        <w:tc>
          <w:tcPr>
            <w:tcW w:w="4260" w:type="dxa"/>
            <w:shd w:val="clear" w:color="auto" w:fill="auto"/>
            <w:vAlign w:val="center"/>
          </w:tcPr>
          <w:p w14:paraId="66954CB3">
            <w:pPr>
              <w:pStyle w:val="6"/>
              <w:widowControl/>
              <w:spacing w:beforeAutospacing="0" w:afterAutospacing="0" w:line="324" w:lineRule="atLeast"/>
              <w:jc w:val="center"/>
            </w:pPr>
            <w:r>
              <w:t> ≤ - 111</w:t>
            </w:r>
          </w:p>
        </w:tc>
      </w:tr>
      <w:tr w14:paraId="335595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1ABAB9EF">
            <w:pPr>
              <w:pStyle w:val="6"/>
              <w:widowControl/>
              <w:spacing w:beforeAutospacing="0" w:afterAutospacing="0" w:line="324" w:lineRule="atLeast"/>
              <w:jc w:val="center"/>
            </w:pPr>
            <w:r>
              <w:t>@1 M</w:t>
            </w:r>
          </w:p>
        </w:tc>
        <w:tc>
          <w:tcPr>
            <w:tcW w:w="4260" w:type="dxa"/>
            <w:shd w:val="clear" w:color="auto" w:fill="auto"/>
            <w:vAlign w:val="center"/>
          </w:tcPr>
          <w:p w14:paraId="34787008">
            <w:pPr>
              <w:pStyle w:val="6"/>
              <w:widowControl/>
              <w:spacing w:beforeAutospacing="0" w:afterAutospacing="0" w:line="324" w:lineRule="atLeast"/>
              <w:jc w:val="center"/>
            </w:pPr>
            <w:r>
              <w:t> ≤ - 125</w:t>
            </w:r>
          </w:p>
        </w:tc>
      </w:tr>
    </w:tbl>
    <w:p w14:paraId="2C549E67">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09D73840">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8B939EB">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Electrical Parameters</w:t>
      </w:r>
    </w:p>
    <w:p w14:paraId="6776CEAA">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93"/>
        <w:gridCol w:w="3155"/>
        <w:gridCol w:w="4502"/>
      </w:tblGrid>
      <w:tr w14:paraId="50C6C7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4965" w:type="dxa"/>
            <w:gridSpan w:val="2"/>
            <w:shd w:val="clear" w:color="auto" w:fill="auto"/>
            <w:vAlign w:val="center"/>
          </w:tcPr>
          <w:p w14:paraId="78DA4946">
            <w:pPr>
              <w:pStyle w:val="6"/>
              <w:widowControl/>
              <w:spacing w:beforeAutospacing="0" w:afterAutospacing="0" w:line="324" w:lineRule="atLeast"/>
              <w:jc w:val="center"/>
            </w:pPr>
            <w:r>
              <w:rPr>
                <w:rStyle w:val="10"/>
              </w:rPr>
              <w:t>Item</w:t>
            </w:r>
          </w:p>
        </w:tc>
        <w:tc>
          <w:tcPr>
            <w:tcW w:w="4260" w:type="dxa"/>
            <w:shd w:val="clear" w:color="auto" w:fill="auto"/>
            <w:vAlign w:val="center"/>
          </w:tcPr>
          <w:p w14:paraId="7903A9B0">
            <w:pPr>
              <w:pStyle w:val="6"/>
              <w:widowControl/>
              <w:spacing w:beforeAutospacing="0" w:afterAutospacing="0" w:line="324" w:lineRule="atLeast"/>
              <w:jc w:val="center"/>
            </w:pPr>
            <w:r>
              <w:rPr>
                <w:rStyle w:val="10"/>
              </w:rPr>
              <w:t>Technical specs</w:t>
            </w:r>
          </w:p>
        </w:tc>
      </w:tr>
      <w:tr w14:paraId="5F2766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714AD406">
            <w:pPr>
              <w:pStyle w:val="6"/>
              <w:widowControl/>
              <w:spacing w:beforeAutospacing="0" w:afterAutospacing="0" w:line="324" w:lineRule="atLeast"/>
              <w:jc w:val="center"/>
            </w:pPr>
            <w:r>
              <w:rPr>
                <w:rStyle w:val="10"/>
              </w:rPr>
              <w:t>Basic Parameters</w:t>
            </w:r>
          </w:p>
        </w:tc>
        <w:tc>
          <w:tcPr>
            <w:tcW w:w="2985" w:type="dxa"/>
            <w:shd w:val="clear" w:color="auto" w:fill="auto"/>
            <w:vAlign w:val="center"/>
          </w:tcPr>
          <w:p w14:paraId="0E172C75">
            <w:pPr>
              <w:pStyle w:val="6"/>
              <w:widowControl/>
              <w:spacing w:beforeAutospacing="0" w:afterAutospacing="0" w:line="324" w:lineRule="atLeast"/>
              <w:jc w:val="center"/>
            </w:pPr>
            <w:r>
              <w:t>TV Standard</w:t>
            </w:r>
          </w:p>
        </w:tc>
        <w:tc>
          <w:tcPr>
            <w:tcW w:w="4260" w:type="dxa"/>
            <w:shd w:val="clear" w:color="auto" w:fill="auto"/>
            <w:vAlign w:val="center"/>
          </w:tcPr>
          <w:p w14:paraId="6AD5AE78">
            <w:pPr>
              <w:pStyle w:val="6"/>
              <w:widowControl/>
              <w:spacing w:beforeAutospacing="0" w:afterAutospacing="0" w:line="324" w:lineRule="atLeast"/>
              <w:jc w:val="center"/>
            </w:pPr>
            <w:r>
              <w:t>DVB-T/ATSC/ISDB-T</w:t>
            </w:r>
          </w:p>
        </w:tc>
      </w:tr>
      <w:tr w14:paraId="756CF0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 w:hRule="atLeast"/>
          <w:tblCellSpacing w:w="0" w:type="dxa"/>
          <w:jc w:val="center"/>
        </w:trPr>
        <w:tc>
          <w:tcPr>
            <w:tcW w:w="1980" w:type="dxa"/>
            <w:vMerge w:val="continue"/>
            <w:shd w:val="clear" w:color="auto" w:fill="auto"/>
            <w:vAlign w:val="center"/>
          </w:tcPr>
          <w:p w14:paraId="0FB815C8">
            <w:pPr>
              <w:jc w:val="left"/>
              <w:rPr>
                <w:rFonts w:ascii="宋体"/>
                <w:sz w:val="24"/>
                <w:szCs w:val="24"/>
              </w:rPr>
            </w:pPr>
          </w:p>
        </w:tc>
        <w:tc>
          <w:tcPr>
            <w:tcW w:w="2985" w:type="dxa"/>
            <w:shd w:val="clear" w:color="auto" w:fill="auto"/>
            <w:vAlign w:val="center"/>
          </w:tcPr>
          <w:p w14:paraId="527428CF">
            <w:pPr>
              <w:pStyle w:val="6"/>
              <w:widowControl/>
              <w:spacing w:beforeAutospacing="0" w:afterAutospacing="0" w:line="324" w:lineRule="atLeast"/>
              <w:jc w:val="center"/>
            </w:pPr>
            <w:r>
              <w:t>Modulating mode</w:t>
            </w:r>
          </w:p>
        </w:tc>
        <w:tc>
          <w:tcPr>
            <w:tcW w:w="4260" w:type="dxa"/>
            <w:shd w:val="clear" w:color="auto" w:fill="auto"/>
            <w:vAlign w:val="center"/>
          </w:tcPr>
          <w:p w14:paraId="3D470218">
            <w:pPr>
              <w:pStyle w:val="6"/>
              <w:widowControl/>
              <w:spacing w:beforeAutospacing="0" w:afterAutospacing="0" w:line="324" w:lineRule="atLeast"/>
              <w:jc w:val="center"/>
            </w:pPr>
            <w:r>
              <w:t>4/16/32/64 QAM</w:t>
            </w:r>
          </w:p>
        </w:tc>
      </w:tr>
      <w:tr w14:paraId="235FED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379EC1CD">
            <w:pPr>
              <w:jc w:val="left"/>
              <w:rPr>
                <w:rFonts w:ascii="宋体"/>
                <w:sz w:val="24"/>
                <w:szCs w:val="24"/>
              </w:rPr>
            </w:pPr>
          </w:p>
        </w:tc>
        <w:tc>
          <w:tcPr>
            <w:tcW w:w="2985" w:type="dxa"/>
            <w:vMerge w:val="restart"/>
            <w:shd w:val="clear" w:color="auto" w:fill="auto"/>
            <w:vAlign w:val="center"/>
          </w:tcPr>
          <w:p w14:paraId="396A866B">
            <w:pPr>
              <w:pStyle w:val="6"/>
              <w:widowControl/>
              <w:spacing w:beforeAutospacing="0" w:afterAutospacing="0" w:line="324" w:lineRule="atLeast"/>
              <w:jc w:val="center"/>
            </w:pPr>
            <w:r>
              <w:t>Frequency stability </w:t>
            </w:r>
          </w:p>
          <w:p w14:paraId="76BDA86E">
            <w:pPr>
              <w:pStyle w:val="6"/>
              <w:widowControl/>
              <w:spacing w:beforeAutospacing="0" w:afterAutospacing="0" w:line="324" w:lineRule="atLeast"/>
              <w:jc w:val="center"/>
            </w:pPr>
            <w:r>
              <w:t>(3 months)</w:t>
            </w:r>
          </w:p>
        </w:tc>
        <w:tc>
          <w:tcPr>
            <w:tcW w:w="4260" w:type="dxa"/>
            <w:shd w:val="clear" w:color="auto" w:fill="auto"/>
            <w:vAlign w:val="center"/>
          </w:tcPr>
          <w:p w14:paraId="46D342B9">
            <w:pPr>
              <w:pStyle w:val="6"/>
              <w:widowControl/>
              <w:spacing w:beforeAutospacing="0" w:afterAutospacing="0" w:line="324" w:lineRule="atLeast"/>
              <w:jc w:val="center"/>
            </w:pPr>
            <w:r>
              <w:t>External Frequency Range: ≤10</w:t>
            </w:r>
            <w:r>
              <w:rPr>
                <w:vertAlign w:val="superscript"/>
              </w:rPr>
              <w:t>-10</w:t>
            </w:r>
          </w:p>
        </w:tc>
      </w:tr>
      <w:tr w14:paraId="0F7B9E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0F5DE5D">
            <w:pPr>
              <w:jc w:val="left"/>
              <w:rPr>
                <w:rFonts w:ascii="宋体"/>
                <w:sz w:val="24"/>
                <w:szCs w:val="24"/>
              </w:rPr>
            </w:pPr>
          </w:p>
        </w:tc>
        <w:tc>
          <w:tcPr>
            <w:tcW w:w="2985" w:type="dxa"/>
            <w:vMerge w:val="continue"/>
            <w:shd w:val="clear" w:color="auto" w:fill="auto"/>
            <w:vAlign w:val="center"/>
          </w:tcPr>
          <w:p w14:paraId="74197206">
            <w:pPr>
              <w:jc w:val="left"/>
              <w:rPr>
                <w:rFonts w:ascii="宋体"/>
                <w:sz w:val="24"/>
                <w:szCs w:val="24"/>
              </w:rPr>
            </w:pPr>
          </w:p>
        </w:tc>
        <w:tc>
          <w:tcPr>
            <w:tcW w:w="4260" w:type="dxa"/>
            <w:shd w:val="clear" w:color="auto" w:fill="auto"/>
            <w:vAlign w:val="center"/>
          </w:tcPr>
          <w:p w14:paraId="07FD16EE">
            <w:pPr>
              <w:pStyle w:val="6"/>
              <w:widowControl/>
              <w:spacing w:beforeAutospacing="0" w:afterAutospacing="0" w:line="324" w:lineRule="atLeast"/>
              <w:jc w:val="center"/>
            </w:pPr>
            <w:r>
              <w:t>Internal Frequency Range: ≤10</w:t>
            </w:r>
            <w:r>
              <w:rPr>
                <w:vertAlign w:val="superscript"/>
              </w:rPr>
              <w:t>-7</w:t>
            </w:r>
          </w:p>
        </w:tc>
      </w:tr>
      <w:tr w14:paraId="7C6111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22788EE6">
            <w:pPr>
              <w:jc w:val="left"/>
              <w:rPr>
                <w:rFonts w:ascii="宋体"/>
                <w:sz w:val="24"/>
                <w:szCs w:val="24"/>
              </w:rPr>
            </w:pPr>
          </w:p>
        </w:tc>
        <w:tc>
          <w:tcPr>
            <w:tcW w:w="2985" w:type="dxa"/>
            <w:shd w:val="clear" w:color="auto" w:fill="auto"/>
            <w:vAlign w:val="center"/>
          </w:tcPr>
          <w:p w14:paraId="3A431BFD">
            <w:pPr>
              <w:pStyle w:val="6"/>
              <w:widowControl/>
              <w:spacing w:beforeAutospacing="0" w:afterAutospacing="0" w:line="324" w:lineRule="atLeast"/>
              <w:jc w:val="center"/>
            </w:pPr>
            <w:r>
              <w:t>Frequency accuracy</w:t>
            </w:r>
          </w:p>
        </w:tc>
        <w:tc>
          <w:tcPr>
            <w:tcW w:w="4260" w:type="dxa"/>
            <w:shd w:val="clear" w:color="auto" w:fill="auto"/>
            <w:vAlign w:val="center"/>
          </w:tcPr>
          <w:p w14:paraId="5386CBCF">
            <w:pPr>
              <w:pStyle w:val="6"/>
              <w:widowControl/>
              <w:spacing w:beforeAutospacing="0" w:afterAutospacing="0" w:line="324" w:lineRule="atLeast"/>
              <w:jc w:val="center"/>
            </w:pPr>
            <w:r>
              <w:t>MFN: ±100Hz / SFN: ±1Hz</w:t>
            </w:r>
          </w:p>
        </w:tc>
      </w:tr>
      <w:tr w14:paraId="06812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182C7DC7">
            <w:pPr>
              <w:jc w:val="left"/>
              <w:rPr>
                <w:rFonts w:ascii="宋体"/>
                <w:sz w:val="24"/>
                <w:szCs w:val="24"/>
              </w:rPr>
            </w:pPr>
          </w:p>
        </w:tc>
        <w:tc>
          <w:tcPr>
            <w:tcW w:w="2985" w:type="dxa"/>
            <w:shd w:val="clear" w:color="auto" w:fill="auto"/>
            <w:vAlign w:val="center"/>
          </w:tcPr>
          <w:p w14:paraId="573E66DF">
            <w:pPr>
              <w:pStyle w:val="6"/>
              <w:widowControl/>
              <w:spacing w:beforeAutospacing="0" w:afterAutospacing="0" w:line="324" w:lineRule="atLeast"/>
              <w:jc w:val="center"/>
            </w:pPr>
            <w:r>
              <w:t>Local oscillator phase noise</w:t>
            </w:r>
          </w:p>
        </w:tc>
        <w:tc>
          <w:tcPr>
            <w:tcW w:w="4260" w:type="dxa"/>
            <w:shd w:val="clear" w:color="auto" w:fill="auto"/>
            <w:vAlign w:val="center"/>
          </w:tcPr>
          <w:p w14:paraId="445222D9">
            <w:pPr>
              <w:pStyle w:val="6"/>
              <w:widowControl/>
              <w:spacing w:beforeAutospacing="0" w:afterAutospacing="0" w:line="324" w:lineRule="atLeast"/>
              <w:jc w:val="center"/>
            </w:pPr>
            <w:r>
              <w:t>See table above</w:t>
            </w:r>
          </w:p>
        </w:tc>
      </w:tr>
      <w:tr w14:paraId="43DB96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6F1F15FD">
            <w:pPr>
              <w:jc w:val="left"/>
              <w:rPr>
                <w:rFonts w:ascii="宋体"/>
                <w:sz w:val="24"/>
                <w:szCs w:val="24"/>
              </w:rPr>
            </w:pPr>
          </w:p>
        </w:tc>
        <w:tc>
          <w:tcPr>
            <w:tcW w:w="2985" w:type="dxa"/>
            <w:shd w:val="clear" w:color="auto" w:fill="auto"/>
            <w:vAlign w:val="center"/>
          </w:tcPr>
          <w:p w14:paraId="03681A35">
            <w:pPr>
              <w:pStyle w:val="6"/>
              <w:widowControl/>
              <w:spacing w:beforeAutospacing="0" w:afterAutospacing="0" w:line="324" w:lineRule="atLeast"/>
              <w:jc w:val="center"/>
            </w:pPr>
            <w:r>
              <w:t>In-band stray</w:t>
            </w:r>
          </w:p>
        </w:tc>
        <w:tc>
          <w:tcPr>
            <w:tcW w:w="4260" w:type="dxa"/>
            <w:shd w:val="clear" w:color="auto" w:fill="auto"/>
            <w:vAlign w:val="center"/>
          </w:tcPr>
          <w:p w14:paraId="22D99E85">
            <w:pPr>
              <w:pStyle w:val="6"/>
              <w:widowControl/>
              <w:spacing w:beforeAutospacing="0" w:afterAutospacing="0" w:line="324" w:lineRule="atLeast"/>
              <w:jc w:val="center"/>
            </w:pPr>
            <w:r>
              <w:t>≤-60dBc</w:t>
            </w:r>
          </w:p>
        </w:tc>
      </w:tr>
      <w:tr w14:paraId="48E0C8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1C838D58">
            <w:pPr>
              <w:jc w:val="left"/>
              <w:rPr>
                <w:rFonts w:ascii="宋体"/>
                <w:sz w:val="24"/>
                <w:szCs w:val="24"/>
              </w:rPr>
            </w:pPr>
          </w:p>
        </w:tc>
        <w:tc>
          <w:tcPr>
            <w:tcW w:w="2985" w:type="dxa"/>
            <w:shd w:val="clear" w:color="auto" w:fill="auto"/>
            <w:vAlign w:val="center"/>
          </w:tcPr>
          <w:p w14:paraId="4E40E767">
            <w:pPr>
              <w:pStyle w:val="6"/>
              <w:widowControl/>
              <w:spacing w:beforeAutospacing="0" w:afterAutospacing="0" w:line="324" w:lineRule="atLeast"/>
              <w:jc w:val="center"/>
            </w:pPr>
            <w:r>
              <w:t>In-band ripple</w:t>
            </w:r>
          </w:p>
          <w:p w14:paraId="13E97381">
            <w:pPr>
              <w:pStyle w:val="6"/>
              <w:widowControl/>
              <w:spacing w:beforeAutospacing="0" w:afterAutospacing="0" w:line="324" w:lineRule="atLeast"/>
              <w:jc w:val="center"/>
            </w:pPr>
            <w:r>
              <w:t>（fc±3.591MHz）</w:t>
            </w:r>
          </w:p>
        </w:tc>
        <w:tc>
          <w:tcPr>
            <w:tcW w:w="4260" w:type="dxa"/>
            <w:shd w:val="clear" w:color="auto" w:fill="auto"/>
            <w:vAlign w:val="center"/>
          </w:tcPr>
          <w:p w14:paraId="7AE70EC6">
            <w:pPr>
              <w:pStyle w:val="6"/>
              <w:widowControl/>
              <w:spacing w:beforeAutospacing="0" w:afterAutospacing="0" w:line="324" w:lineRule="atLeast"/>
              <w:jc w:val="center"/>
            </w:pPr>
            <w:r>
              <w:t>±0.5dB</w:t>
            </w:r>
          </w:p>
        </w:tc>
      </w:tr>
      <w:tr w14:paraId="298B8A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37475A3D">
            <w:pPr>
              <w:jc w:val="left"/>
              <w:rPr>
                <w:rFonts w:ascii="宋体"/>
                <w:sz w:val="24"/>
                <w:szCs w:val="24"/>
              </w:rPr>
            </w:pPr>
          </w:p>
        </w:tc>
        <w:tc>
          <w:tcPr>
            <w:tcW w:w="2985" w:type="dxa"/>
            <w:shd w:val="clear" w:color="auto" w:fill="auto"/>
            <w:vAlign w:val="center"/>
          </w:tcPr>
          <w:p w14:paraId="52909606">
            <w:pPr>
              <w:pStyle w:val="6"/>
              <w:widowControl/>
              <w:spacing w:beforeAutospacing="0" w:afterAutospacing="0" w:line="324" w:lineRule="atLeast"/>
              <w:jc w:val="center"/>
            </w:pPr>
            <w:r>
              <w:t>Out-of-band rejection</w:t>
            </w:r>
          </w:p>
        </w:tc>
        <w:tc>
          <w:tcPr>
            <w:tcW w:w="4260" w:type="dxa"/>
            <w:shd w:val="clear" w:color="auto" w:fill="auto"/>
            <w:vAlign w:val="center"/>
          </w:tcPr>
          <w:p w14:paraId="3A0E8D2A">
            <w:pPr>
              <w:pStyle w:val="6"/>
              <w:widowControl/>
              <w:spacing w:beforeAutospacing="0" w:afterAutospacing="0" w:line="324" w:lineRule="atLeast"/>
              <w:jc w:val="center"/>
            </w:pPr>
            <w:r>
              <w:t>≤-65dBc</w:t>
            </w:r>
          </w:p>
        </w:tc>
      </w:tr>
      <w:tr w14:paraId="68C4E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747FDEDD">
            <w:pPr>
              <w:pStyle w:val="6"/>
              <w:widowControl/>
              <w:spacing w:beforeAutospacing="0" w:afterAutospacing="0" w:line="324" w:lineRule="atLeast"/>
              <w:jc w:val="center"/>
            </w:pPr>
            <w:r>
              <w:rPr>
                <w:rStyle w:val="10"/>
              </w:rPr>
              <w:t>Input</w:t>
            </w:r>
          </w:p>
        </w:tc>
        <w:tc>
          <w:tcPr>
            <w:tcW w:w="2985" w:type="dxa"/>
            <w:shd w:val="clear" w:color="auto" w:fill="auto"/>
            <w:vAlign w:val="center"/>
          </w:tcPr>
          <w:p w14:paraId="49C91915">
            <w:pPr>
              <w:pStyle w:val="6"/>
              <w:widowControl/>
              <w:spacing w:beforeAutospacing="0" w:afterAutospacing="0" w:line="324" w:lineRule="atLeast"/>
              <w:jc w:val="center"/>
            </w:pPr>
            <w:r>
              <w:t>Frequency range</w:t>
            </w:r>
          </w:p>
        </w:tc>
        <w:tc>
          <w:tcPr>
            <w:tcW w:w="4260" w:type="dxa"/>
            <w:shd w:val="clear" w:color="auto" w:fill="auto"/>
            <w:vAlign w:val="center"/>
          </w:tcPr>
          <w:p w14:paraId="6917751A">
            <w:pPr>
              <w:pStyle w:val="6"/>
              <w:widowControl/>
              <w:spacing w:beforeAutospacing="0" w:afterAutospacing="0" w:line="324" w:lineRule="atLeast"/>
              <w:jc w:val="center"/>
            </w:pPr>
            <w:r>
              <w:t>470MHz～806MHz (any 100MHz bandwidth)</w:t>
            </w:r>
          </w:p>
        </w:tc>
      </w:tr>
      <w:tr w14:paraId="10596F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66F53A17">
            <w:pPr>
              <w:jc w:val="left"/>
              <w:rPr>
                <w:rFonts w:ascii="宋体"/>
                <w:sz w:val="24"/>
                <w:szCs w:val="24"/>
              </w:rPr>
            </w:pPr>
          </w:p>
        </w:tc>
        <w:tc>
          <w:tcPr>
            <w:tcW w:w="2985" w:type="dxa"/>
            <w:shd w:val="clear" w:color="auto" w:fill="auto"/>
            <w:vAlign w:val="center"/>
          </w:tcPr>
          <w:p w14:paraId="0DEEC12B">
            <w:pPr>
              <w:pStyle w:val="6"/>
              <w:widowControl/>
              <w:spacing w:beforeAutospacing="0" w:afterAutospacing="0" w:line="324" w:lineRule="atLeast"/>
              <w:jc w:val="center"/>
            </w:pPr>
            <w:r>
              <w:t>level</w:t>
            </w:r>
          </w:p>
        </w:tc>
        <w:tc>
          <w:tcPr>
            <w:tcW w:w="4260" w:type="dxa"/>
            <w:shd w:val="clear" w:color="auto" w:fill="auto"/>
            <w:vAlign w:val="center"/>
          </w:tcPr>
          <w:p w14:paraId="7E5EC41B">
            <w:pPr>
              <w:pStyle w:val="6"/>
              <w:widowControl/>
              <w:spacing w:beforeAutospacing="0" w:afterAutospacing="0" w:line="324" w:lineRule="atLeast"/>
              <w:jc w:val="center"/>
            </w:pPr>
            <w:r>
              <w:t>-20±3dBm</w:t>
            </w:r>
          </w:p>
        </w:tc>
      </w:tr>
      <w:tr w14:paraId="2AAA34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4AF7FE8B">
            <w:pPr>
              <w:jc w:val="left"/>
              <w:rPr>
                <w:rFonts w:ascii="宋体"/>
                <w:sz w:val="24"/>
                <w:szCs w:val="24"/>
              </w:rPr>
            </w:pPr>
          </w:p>
        </w:tc>
        <w:tc>
          <w:tcPr>
            <w:tcW w:w="2985" w:type="dxa"/>
            <w:shd w:val="clear" w:color="auto" w:fill="auto"/>
            <w:vAlign w:val="center"/>
          </w:tcPr>
          <w:p w14:paraId="21A89710">
            <w:pPr>
              <w:pStyle w:val="6"/>
              <w:widowControl/>
              <w:spacing w:beforeAutospacing="0" w:afterAutospacing="0" w:line="324" w:lineRule="atLeast"/>
              <w:jc w:val="center"/>
            </w:pPr>
            <w:r>
              <w:t>Input reflection loss</w:t>
            </w:r>
          </w:p>
        </w:tc>
        <w:tc>
          <w:tcPr>
            <w:tcW w:w="4260" w:type="dxa"/>
            <w:shd w:val="clear" w:color="auto" w:fill="auto"/>
            <w:vAlign w:val="center"/>
          </w:tcPr>
          <w:p w14:paraId="64B0FE33">
            <w:pPr>
              <w:pStyle w:val="6"/>
              <w:widowControl/>
              <w:spacing w:beforeAutospacing="0" w:afterAutospacing="0" w:line="324" w:lineRule="atLeast"/>
              <w:jc w:val="center"/>
            </w:pPr>
            <w:r>
              <w:t>≥15dB</w:t>
            </w:r>
          </w:p>
        </w:tc>
      </w:tr>
      <w:tr w14:paraId="45DA74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3568A808">
            <w:pPr>
              <w:jc w:val="left"/>
              <w:rPr>
                <w:rFonts w:ascii="宋体"/>
                <w:sz w:val="24"/>
                <w:szCs w:val="24"/>
              </w:rPr>
            </w:pPr>
          </w:p>
        </w:tc>
        <w:tc>
          <w:tcPr>
            <w:tcW w:w="2985" w:type="dxa"/>
            <w:shd w:val="clear" w:color="auto" w:fill="auto"/>
            <w:vAlign w:val="center"/>
          </w:tcPr>
          <w:p w14:paraId="4CDB6F10">
            <w:pPr>
              <w:pStyle w:val="6"/>
              <w:widowControl/>
              <w:spacing w:beforeAutospacing="0" w:afterAutospacing="0" w:line="324" w:lineRule="atLeast"/>
              <w:jc w:val="center"/>
            </w:pPr>
            <w:r>
              <w:t>connector</w:t>
            </w:r>
          </w:p>
        </w:tc>
        <w:tc>
          <w:tcPr>
            <w:tcW w:w="4260" w:type="dxa"/>
            <w:shd w:val="clear" w:color="auto" w:fill="auto"/>
            <w:vAlign w:val="center"/>
          </w:tcPr>
          <w:p w14:paraId="7F8D6FC8">
            <w:pPr>
              <w:pStyle w:val="6"/>
              <w:widowControl/>
              <w:spacing w:beforeAutospacing="0" w:afterAutospacing="0" w:line="324" w:lineRule="atLeast"/>
              <w:jc w:val="center"/>
            </w:pPr>
            <w:r>
              <w:t>N-K</w:t>
            </w:r>
          </w:p>
        </w:tc>
      </w:tr>
      <w:tr w14:paraId="2222E2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0EF929B9">
            <w:pPr>
              <w:pStyle w:val="6"/>
              <w:widowControl/>
              <w:spacing w:beforeAutospacing="0" w:afterAutospacing="0" w:line="324" w:lineRule="atLeast"/>
              <w:jc w:val="center"/>
            </w:pPr>
            <w:r>
              <w:rPr>
                <w:rStyle w:val="10"/>
              </w:rPr>
              <w:t>Output</w:t>
            </w:r>
          </w:p>
        </w:tc>
        <w:tc>
          <w:tcPr>
            <w:tcW w:w="2985" w:type="dxa"/>
            <w:shd w:val="clear" w:color="auto" w:fill="auto"/>
            <w:vAlign w:val="center"/>
          </w:tcPr>
          <w:p w14:paraId="07E9A283">
            <w:pPr>
              <w:pStyle w:val="6"/>
              <w:widowControl/>
              <w:spacing w:beforeAutospacing="0" w:afterAutospacing="0" w:line="324" w:lineRule="atLeast"/>
              <w:jc w:val="center"/>
            </w:pPr>
            <w:r>
              <w:t>Output power</w:t>
            </w:r>
          </w:p>
        </w:tc>
        <w:tc>
          <w:tcPr>
            <w:tcW w:w="4260" w:type="dxa"/>
            <w:shd w:val="clear" w:color="auto" w:fill="auto"/>
            <w:vAlign w:val="center"/>
          </w:tcPr>
          <w:p w14:paraId="2C1B976D">
            <w:pPr>
              <w:pStyle w:val="6"/>
              <w:widowControl/>
              <w:spacing w:beforeAutospacing="0" w:afterAutospacing="0" w:line="324" w:lineRule="atLeast"/>
              <w:jc w:val="center"/>
            </w:pPr>
            <w:r>
              <w:t>10W, 20W, 30W, 50W, 100W Optional</w:t>
            </w:r>
          </w:p>
        </w:tc>
      </w:tr>
      <w:tr w14:paraId="2003C3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754EC93F">
            <w:pPr>
              <w:jc w:val="left"/>
              <w:rPr>
                <w:rFonts w:ascii="宋体"/>
                <w:sz w:val="24"/>
                <w:szCs w:val="24"/>
              </w:rPr>
            </w:pPr>
          </w:p>
        </w:tc>
        <w:tc>
          <w:tcPr>
            <w:tcW w:w="2985" w:type="dxa"/>
            <w:shd w:val="clear" w:color="auto" w:fill="auto"/>
            <w:vAlign w:val="center"/>
          </w:tcPr>
          <w:p w14:paraId="2A2F36C2">
            <w:pPr>
              <w:pStyle w:val="6"/>
              <w:widowControl/>
              <w:spacing w:beforeAutospacing="0" w:afterAutospacing="0" w:line="324" w:lineRule="atLeast"/>
              <w:jc w:val="center"/>
            </w:pPr>
            <w:r>
              <w:t>Frequency range</w:t>
            </w:r>
          </w:p>
        </w:tc>
        <w:tc>
          <w:tcPr>
            <w:tcW w:w="4260" w:type="dxa"/>
            <w:shd w:val="clear" w:color="auto" w:fill="auto"/>
            <w:vAlign w:val="center"/>
          </w:tcPr>
          <w:p w14:paraId="7C3A2697">
            <w:pPr>
              <w:pStyle w:val="6"/>
              <w:widowControl/>
              <w:spacing w:beforeAutospacing="0" w:afterAutospacing="0" w:line="324" w:lineRule="atLeast"/>
              <w:jc w:val="center"/>
            </w:pPr>
            <w:r>
              <w:t>470MHz～806MHz (any 100MHz bandwidth)</w:t>
            </w:r>
          </w:p>
        </w:tc>
      </w:tr>
      <w:tr w14:paraId="5CEEE0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3A5896B6">
            <w:pPr>
              <w:jc w:val="left"/>
              <w:rPr>
                <w:rFonts w:ascii="宋体"/>
                <w:sz w:val="24"/>
                <w:szCs w:val="24"/>
              </w:rPr>
            </w:pPr>
          </w:p>
        </w:tc>
        <w:tc>
          <w:tcPr>
            <w:tcW w:w="2985" w:type="dxa"/>
            <w:shd w:val="clear" w:color="auto" w:fill="auto"/>
            <w:vAlign w:val="center"/>
          </w:tcPr>
          <w:p w14:paraId="3EC82D2E">
            <w:pPr>
              <w:pStyle w:val="6"/>
              <w:widowControl/>
              <w:spacing w:beforeAutospacing="0" w:afterAutospacing="0" w:line="324" w:lineRule="atLeast"/>
              <w:jc w:val="center"/>
            </w:pPr>
            <w:r>
              <w:t>Output impedance</w:t>
            </w:r>
          </w:p>
        </w:tc>
        <w:tc>
          <w:tcPr>
            <w:tcW w:w="4260" w:type="dxa"/>
            <w:shd w:val="clear" w:color="auto" w:fill="auto"/>
            <w:vAlign w:val="center"/>
          </w:tcPr>
          <w:p w14:paraId="5B3DB16C">
            <w:pPr>
              <w:pStyle w:val="6"/>
              <w:widowControl/>
              <w:spacing w:beforeAutospacing="0" w:afterAutospacing="0" w:line="324" w:lineRule="atLeast"/>
              <w:jc w:val="center"/>
            </w:pPr>
            <w:r>
              <w:t>50Ω</w:t>
            </w:r>
          </w:p>
        </w:tc>
      </w:tr>
      <w:tr w14:paraId="22D116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476C3A6">
            <w:pPr>
              <w:jc w:val="left"/>
              <w:rPr>
                <w:rFonts w:ascii="宋体"/>
                <w:sz w:val="24"/>
                <w:szCs w:val="24"/>
              </w:rPr>
            </w:pPr>
          </w:p>
        </w:tc>
        <w:tc>
          <w:tcPr>
            <w:tcW w:w="2985" w:type="dxa"/>
            <w:shd w:val="clear" w:color="auto" w:fill="auto"/>
            <w:vAlign w:val="center"/>
          </w:tcPr>
          <w:p w14:paraId="669FF4D6">
            <w:pPr>
              <w:pStyle w:val="6"/>
              <w:widowControl/>
              <w:spacing w:beforeAutospacing="0" w:afterAutospacing="0" w:line="324" w:lineRule="atLeast"/>
              <w:jc w:val="center"/>
            </w:pPr>
            <w:r>
              <w:t>In-band ripple (fc±3.591MHz)</w:t>
            </w:r>
          </w:p>
        </w:tc>
        <w:tc>
          <w:tcPr>
            <w:tcW w:w="4260" w:type="dxa"/>
            <w:shd w:val="clear" w:color="auto" w:fill="auto"/>
            <w:vAlign w:val="center"/>
          </w:tcPr>
          <w:p w14:paraId="260002AF">
            <w:pPr>
              <w:pStyle w:val="6"/>
              <w:widowControl/>
              <w:spacing w:beforeAutospacing="0" w:afterAutospacing="0" w:line="324" w:lineRule="atLeast"/>
              <w:jc w:val="center"/>
            </w:pPr>
            <w:r>
              <w:t>±0.5dB</w:t>
            </w:r>
          </w:p>
        </w:tc>
      </w:tr>
      <w:tr w14:paraId="30EE7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4CA80C90">
            <w:pPr>
              <w:jc w:val="left"/>
              <w:rPr>
                <w:rFonts w:ascii="宋体"/>
                <w:sz w:val="24"/>
                <w:szCs w:val="24"/>
              </w:rPr>
            </w:pPr>
          </w:p>
        </w:tc>
        <w:tc>
          <w:tcPr>
            <w:tcW w:w="2985" w:type="dxa"/>
            <w:shd w:val="clear" w:color="auto" w:fill="auto"/>
            <w:vAlign w:val="center"/>
          </w:tcPr>
          <w:p w14:paraId="77DAFECB">
            <w:pPr>
              <w:pStyle w:val="6"/>
              <w:widowControl/>
              <w:spacing w:beforeAutospacing="0" w:afterAutospacing="0" w:line="324" w:lineRule="atLeast"/>
              <w:jc w:val="center"/>
            </w:pPr>
            <w:r>
              <w:t>Shoulder level</w:t>
            </w:r>
          </w:p>
        </w:tc>
        <w:tc>
          <w:tcPr>
            <w:tcW w:w="4260" w:type="dxa"/>
            <w:shd w:val="clear" w:color="auto" w:fill="auto"/>
            <w:vAlign w:val="center"/>
          </w:tcPr>
          <w:p w14:paraId="0F9977DD">
            <w:pPr>
              <w:pStyle w:val="6"/>
              <w:widowControl/>
              <w:spacing w:beforeAutospacing="0" w:afterAutospacing="0" w:line="324" w:lineRule="atLeast"/>
              <w:jc w:val="center"/>
            </w:pPr>
            <w:r>
              <w:t>≥40dB@central frequency FC±4.2MHz (after correction, single channel)</w:t>
            </w:r>
          </w:p>
        </w:tc>
      </w:tr>
      <w:tr w14:paraId="7B5DAF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19021482">
            <w:pPr>
              <w:jc w:val="left"/>
              <w:rPr>
                <w:rFonts w:ascii="宋体"/>
                <w:sz w:val="24"/>
                <w:szCs w:val="24"/>
              </w:rPr>
            </w:pPr>
          </w:p>
        </w:tc>
        <w:tc>
          <w:tcPr>
            <w:tcW w:w="2985" w:type="dxa"/>
            <w:shd w:val="clear" w:color="auto" w:fill="auto"/>
            <w:vAlign w:val="center"/>
          </w:tcPr>
          <w:p w14:paraId="110374E8">
            <w:pPr>
              <w:pStyle w:val="6"/>
              <w:widowControl/>
              <w:spacing w:beforeAutospacing="0" w:afterAutospacing="0" w:line="324" w:lineRule="atLeast"/>
              <w:jc w:val="center"/>
            </w:pPr>
            <w:r>
              <w:t>MER</w:t>
            </w:r>
          </w:p>
        </w:tc>
        <w:tc>
          <w:tcPr>
            <w:tcW w:w="4260" w:type="dxa"/>
            <w:shd w:val="clear" w:color="auto" w:fill="auto"/>
            <w:vAlign w:val="center"/>
          </w:tcPr>
          <w:p w14:paraId="6EA27C12">
            <w:pPr>
              <w:pStyle w:val="6"/>
              <w:widowControl/>
              <w:spacing w:beforeAutospacing="0" w:afterAutospacing="0" w:line="324" w:lineRule="atLeast"/>
              <w:jc w:val="center"/>
            </w:pPr>
            <w:r>
              <w:t>≥35dB (after correction, single channel)</w:t>
            </w:r>
          </w:p>
        </w:tc>
      </w:tr>
      <w:tr w14:paraId="3363C5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17EA623D">
            <w:pPr>
              <w:jc w:val="left"/>
              <w:rPr>
                <w:rFonts w:ascii="宋体"/>
                <w:sz w:val="24"/>
                <w:szCs w:val="24"/>
              </w:rPr>
            </w:pPr>
          </w:p>
        </w:tc>
        <w:tc>
          <w:tcPr>
            <w:tcW w:w="2985" w:type="dxa"/>
            <w:shd w:val="clear" w:color="auto" w:fill="auto"/>
            <w:vAlign w:val="center"/>
          </w:tcPr>
          <w:p w14:paraId="1207DD42">
            <w:pPr>
              <w:pStyle w:val="6"/>
              <w:widowControl/>
              <w:spacing w:beforeAutospacing="0" w:afterAutospacing="0" w:line="324" w:lineRule="atLeast"/>
              <w:jc w:val="center"/>
            </w:pPr>
            <w:r>
              <w:t>output reflection loss</w:t>
            </w:r>
          </w:p>
        </w:tc>
        <w:tc>
          <w:tcPr>
            <w:tcW w:w="4260" w:type="dxa"/>
            <w:shd w:val="clear" w:color="auto" w:fill="auto"/>
            <w:vAlign w:val="center"/>
          </w:tcPr>
          <w:p w14:paraId="25BF14B0">
            <w:pPr>
              <w:pStyle w:val="6"/>
              <w:widowControl/>
              <w:spacing w:beforeAutospacing="0" w:afterAutospacing="0" w:line="324" w:lineRule="atLeast"/>
              <w:jc w:val="center"/>
            </w:pPr>
            <w:r>
              <w:t>≥26dB</w:t>
            </w:r>
          </w:p>
        </w:tc>
      </w:tr>
      <w:tr w14:paraId="3CD53C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135E5145">
            <w:pPr>
              <w:jc w:val="left"/>
              <w:rPr>
                <w:rFonts w:ascii="宋体"/>
                <w:sz w:val="24"/>
                <w:szCs w:val="24"/>
              </w:rPr>
            </w:pPr>
          </w:p>
        </w:tc>
        <w:tc>
          <w:tcPr>
            <w:tcW w:w="2985" w:type="dxa"/>
            <w:shd w:val="clear" w:color="auto" w:fill="auto"/>
            <w:vAlign w:val="center"/>
          </w:tcPr>
          <w:p w14:paraId="6BA564AF">
            <w:pPr>
              <w:pStyle w:val="6"/>
              <w:widowControl/>
              <w:spacing w:beforeAutospacing="0" w:afterAutospacing="0" w:line="324" w:lineRule="atLeast"/>
              <w:jc w:val="center"/>
            </w:pPr>
            <w:r>
              <w:t>Output power variation</w:t>
            </w:r>
          </w:p>
        </w:tc>
        <w:tc>
          <w:tcPr>
            <w:tcW w:w="4260" w:type="dxa"/>
            <w:shd w:val="clear" w:color="auto" w:fill="auto"/>
            <w:vAlign w:val="center"/>
          </w:tcPr>
          <w:p w14:paraId="462DD720">
            <w:pPr>
              <w:pStyle w:val="6"/>
              <w:widowControl/>
              <w:spacing w:beforeAutospacing="0" w:afterAutospacing="0" w:line="324" w:lineRule="atLeast"/>
              <w:jc w:val="center"/>
            </w:pPr>
            <w:r>
              <w:t>±0.25dB</w:t>
            </w:r>
          </w:p>
        </w:tc>
      </w:tr>
      <w:tr w14:paraId="1F12DE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739DAC94">
            <w:pPr>
              <w:jc w:val="left"/>
              <w:rPr>
                <w:rFonts w:ascii="宋体"/>
                <w:sz w:val="24"/>
                <w:szCs w:val="24"/>
              </w:rPr>
            </w:pPr>
          </w:p>
        </w:tc>
        <w:tc>
          <w:tcPr>
            <w:tcW w:w="2985" w:type="dxa"/>
            <w:shd w:val="clear" w:color="auto" w:fill="auto"/>
            <w:vAlign w:val="center"/>
          </w:tcPr>
          <w:p w14:paraId="7480ABF0">
            <w:pPr>
              <w:pStyle w:val="6"/>
              <w:widowControl/>
              <w:spacing w:beforeAutospacing="0" w:afterAutospacing="0" w:line="324" w:lineRule="atLeast"/>
              <w:jc w:val="center"/>
            </w:pPr>
            <w:r>
              <w:t>Inner adjacent channel transmission power</w:t>
            </w:r>
          </w:p>
        </w:tc>
        <w:tc>
          <w:tcPr>
            <w:tcW w:w="4260" w:type="dxa"/>
            <w:shd w:val="clear" w:color="auto" w:fill="auto"/>
            <w:vAlign w:val="center"/>
          </w:tcPr>
          <w:p w14:paraId="00D0561A">
            <w:pPr>
              <w:pStyle w:val="6"/>
              <w:widowControl/>
              <w:spacing w:beforeAutospacing="0" w:afterAutospacing="0" w:line="324" w:lineRule="atLeast"/>
            </w:pPr>
            <w:r>
              <w:t>Inner adjacent channel transmission power : in-band transmission power≤-60dB,</w:t>
            </w:r>
          </w:p>
          <w:p w14:paraId="7BF33A75">
            <w:pPr>
              <w:pStyle w:val="6"/>
              <w:widowControl/>
              <w:spacing w:beforeAutospacing="0" w:afterAutospacing="0" w:line="324" w:lineRule="atLeast"/>
            </w:pPr>
            <w:r>
              <w:t>meet that Inner adjacent channel transmission power≤13mW</w:t>
            </w:r>
          </w:p>
        </w:tc>
      </w:tr>
      <w:tr w14:paraId="7973E8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3DAADCAB">
            <w:pPr>
              <w:jc w:val="left"/>
              <w:rPr>
                <w:rFonts w:ascii="宋体"/>
                <w:sz w:val="24"/>
                <w:szCs w:val="24"/>
              </w:rPr>
            </w:pPr>
          </w:p>
        </w:tc>
        <w:tc>
          <w:tcPr>
            <w:tcW w:w="2985" w:type="dxa"/>
            <w:shd w:val="clear" w:color="auto" w:fill="auto"/>
            <w:vAlign w:val="center"/>
          </w:tcPr>
          <w:p w14:paraId="05D8B194">
            <w:pPr>
              <w:pStyle w:val="6"/>
              <w:widowControl/>
              <w:spacing w:beforeAutospacing="0" w:afterAutospacing="0" w:line="324" w:lineRule="atLeast"/>
              <w:jc w:val="center"/>
            </w:pPr>
            <w:r>
              <w:t>External adjacent channel transmission power</w:t>
            </w:r>
          </w:p>
        </w:tc>
        <w:tc>
          <w:tcPr>
            <w:tcW w:w="4260" w:type="dxa"/>
            <w:shd w:val="clear" w:color="auto" w:fill="auto"/>
            <w:vAlign w:val="center"/>
          </w:tcPr>
          <w:p w14:paraId="507EE12D">
            <w:pPr>
              <w:pStyle w:val="6"/>
              <w:widowControl/>
              <w:spacing w:beforeAutospacing="0" w:afterAutospacing="0" w:line="324" w:lineRule="atLeast"/>
            </w:pPr>
            <w:r>
              <w:t>External adjacent channel transmission power : in-band transmission power≤-65dB,</w:t>
            </w:r>
          </w:p>
          <w:p w14:paraId="5AD52B47">
            <w:pPr>
              <w:pStyle w:val="6"/>
              <w:widowControl/>
              <w:spacing w:beforeAutospacing="0" w:afterAutospacing="0" w:line="324" w:lineRule="atLeast"/>
            </w:pPr>
            <w:r>
              <w:t>meet that Inner adjacent channel transmission power≤13mW</w:t>
            </w:r>
          </w:p>
        </w:tc>
      </w:tr>
      <w:tr w14:paraId="6132DC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3FD416F9">
            <w:pPr>
              <w:pStyle w:val="6"/>
              <w:widowControl/>
              <w:spacing w:beforeAutospacing="0" w:afterAutospacing="0" w:line="324" w:lineRule="atLeast"/>
              <w:jc w:val="center"/>
            </w:pPr>
            <w:r>
              <w:rPr>
                <w:rStyle w:val="10"/>
              </w:rPr>
              <w:t>Environment condition</w:t>
            </w:r>
          </w:p>
        </w:tc>
        <w:tc>
          <w:tcPr>
            <w:tcW w:w="2985" w:type="dxa"/>
            <w:shd w:val="clear" w:color="auto" w:fill="auto"/>
            <w:vAlign w:val="center"/>
          </w:tcPr>
          <w:p w14:paraId="404BCB53">
            <w:pPr>
              <w:pStyle w:val="6"/>
              <w:widowControl/>
              <w:spacing w:beforeAutospacing="0" w:afterAutospacing="0" w:line="324" w:lineRule="atLeast"/>
              <w:jc w:val="center"/>
            </w:pPr>
            <w:r>
              <w:t>Working temperature</w:t>
            </w:r>
          </w:p>
        </w:tc>
        <w:tc>
          <w:tcPr>
            <w:tcW w:w="4260" w:type="dxa"/>
            <w:shd w:val="clear" w:color="auto" w:fill="auto"/>
            <w:vAlign w:val="center"/>
          </w:tcPr>
          <w:p w14:paraId="1FCD8CDF">
            <w:pPr>
              <w:pStyle w:val="6"/>
              <w:widowControl/>
              <w:spacing w:beforeAutospacing="0" w:afterAutospacing="0" w:line="324" w:lineRule="atLeast"/>
              <w:jc w:val="center"/>
            </w:pPr>
            <w:r>
              <w:t>-20~+50℃</w:t>
            </w:r>
          </w:p>
        </w:tc>
      </w:tr>
      <w:tr w14:paraId="1880E4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7D917CC9">
            <w:pPr>
              <w:jc w:val="left"/>
              <w:rPr>
                <w:rFonts w:ascii="宋体"/>
                <w:sz w:val="24"/>
                <w:szCs w:val="24"/>
              </w:rPr>
            </w:pPr>
          </w:p>
        </w:tc>
        <w:tc>
          <w:tcPr>
            <w:tcW w:w="2985" w:type="dxa"/>
            <w:shd w:val="clear" w:color="auto" w:fill="auto"/>
            <w:vAlign w:val="center"/>
          </w:tcPr>
          <w:p w14:paraId="40C71728">
            <w:pPr>
              <w:pStyle w:val="6"/>
              <w:widowControl/>
              <w:spacing w:beforeAutospacing="0" w:afterAutospacing="0" w:line="324" w:lineRule="atLeast"/>
              <w:jc w:val="center"/>
            </w:pPr>
            <w:r>
              <w:t>Storage temperature</w:t>
            </w:r>
          </w:p>
        </w:tc>
        <w:tc>
          <w:tcPr>
            <w:tcW w:w="4260" w:type="dxa"/>
            <w:shd w:val="clear" w:color="auto" w:fill="auto"/>
            <w:vAlign w:val="center"/>
          </w:tcPr>
          <w:p w14:paraId="0F205249">
            <w:pPr>
              <w:pStyle w:val="6"/>
              <w:widowControl/>
              <w:spacing w:beforeAutospacing="0" w:afterAutospacing="0" w:line="324" w:lineRule="atLeast"/>
              <w:jc w:val="center"/>
            </w:pPr>
            <w:r>
              <w:t>-30~+75℃</w:t>
            </w:r>
          </w:p>
        </w:tc>
      </w:tr>
      <w:tr w14:paraId="41CF89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47E62F2F">
            <w:pPr>
              <w:jc w:val="left"/>
              <w:rPr>
                <w:rFonts w:ascii="宋体"/>
                <w:sz w:val="24"/>
                <w:szCs w:val="24"/>
              </w:rPr>
            </w:pPr>
          </w:p>
        </w:tc>
        <w:tc>
          <w:tcPr>
            <w:tcW w:w="2985" w:type="dxa"/>
            <w:shd w:val="clear" w:color="auto" w:fill="auto"/>
            <w:vAlign w:val="center"/>
          </w:tcPr>
          <w:p w14:paraId="1D9378E0">
            <w:pPr>
              <w:pStyle w:val="6"/>
              <w:widowControl/>
              <w:spacing w:beforeAutospacing="0" w:afterAutospacing="0" w:line="324" w:lineRule="atLeast"/>
              <w:jc w:val="center"/>
            </w:pPr>
            <w:r>
              <w:t>Relatively humidity</w:t>
            </w:r>
          </w:p>
        </w:tc>
        <w:tc>
          <w:tcPr>
            <w:tcW w:w="4260" w:type="dxa"/>
            <w:shd w:val="clear" w:color="auto" w:fill="auto"/>
            <w:vAlign w:val="center"/>
          </w:tcPr>
          <w:p w14:paraId="2CBEE094">
            <w:pPr>
              <w:pStyle w:val="6"/>
              <w:widowControl/>
              <w:spacing w:beforeAutospacing="0" w:afterAutospacing="0" w:line="324" w:lineRule="atLeast"/>
              <w:jc w:val="center"/>
            </w:pPr>
            <w:r>
              <w:t>＜95%（no condensation at 25℃）</w:t>
            </w:r>
          </w:p>
        </w:tc>
      </w:tr>
      <w:tr w14:paraId="72384D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3593116">
            <w:pPr>
              <w:jc w:val="left"/>
              <w:rPr>
                <w:rFonts w:ascii="宋体"/>
                <w:sz w:val="24"/>
                <w:szCs w:val="24"/>
              </w:rPr>
            </w:pPr>
          </w:p>
        </w:tc>
        <w:tc>
          <w:tcPr>
            <w:tcW w:w="2985" w:type="dxa"/>
            <w:shd w:val="clear" w:color="auto" w:fill="auto"/>
            <w:vAlign w:val="center"/>
          </w:tcPr>
          <w:p w14:paraId="4686771E">
            <w:pPr>
              <w:pStyle w:val="6"/>
              <w:widowControl/>
              <w:spacing w:beforeAutospacing="0" w:afterAutospacing="0" w:line="324" w:lineRule="atLeast"/>
              <w:jc w:val="center"/>
            </w:pPr>
            <w:r>
              <w:t>atm press</w:t>
            </w:r>
          </w:p>
        </w:tc>
        <w:tc>
          <w:tcPr>
            <w:tcW w:w="4260" w:type="dxa"/>
            <w:shd w:val="clear" w:color="auto" w:fill="auto"/>
            <w:vAlign w:val="center"/>
          </w:tcPr>
          <w:p w14:paraId="467704BC">
            <w:pPr>
              <w:pStyle w:val="6"/>
              <w:widowControl/>
              <w:spacing w:beforeAutospacing="0" w:afterAutospacing="0" w:line="324" w:lineRule="atLeast"/>
              <w:jc w:val="center"/>
            </w:pPr>
            <w:r>
              <w:t>86~106kPa</w:t>
            </w:r>
          </w:p>
        </w:tc>
      </w:tr>
      <w:tr w14:paraId="1866D0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980" w:type="dxa"/>
            <w:vMerge w:val="continue"/>
            <w:shd w:val="clear" w:color="auto" w:fill="auto"/>
            <w:vAlign w:val="center"/>
          </w:tcPr>
          <w:p w14:paraId="36965442">
            <w:pPr>
              <w:jc w:val="left"/>
              <w:rPr>
                <w:rFonts w:ascii="宋体"/>
                <w:sz w:val="24"/>
                <w:szCs w:val="24"/>
              </w:rPr>
            </w:pPr>
          </w:p>
        </w:tc>
        <w:tc>
          <w:tcPr>
            <w:tcW w:w="2985" w:type="dxa"/>
            <w:shd w:val="clear" w:color="auto" w:fill="auto"/>
            <w:vAlign w:val="center"/>
          </w:tcPr>
          <w:p w14:paraId="022B210D">
            <w:pPr>
              <w:pStyle w:val="6"/>
              <w:widowControl/>
              <w:spacing w:beforeAutospacing="0" w:afterAutospacing="0" w:line="324" w:lineRule="atLeast"/>
              <w:jc w:val="center"/>
            </w:pPr>
            <w:r>
              <w:t>power supply</w:t>
            </w:r>
          </w:p>
        </w:tc>
        <w:tc>
          <w:tcPr>
            <w:tcW w:w="4260" w:type="dxa"/>
            <w:shd w:val="clear" w:color="auto" w:fill="auto"/>
            <w:vAlign w:val="center"/>
          </w:tcPr>
          <w:p w14:paraId="09A8C7E7">
            <w:pPr>
              <w:pStyle w:val="6"/>
              <w:widowControl/>
              <w:spacing w:beforeAutospacing="0" w:afterAutospacing="0" w:line="324" w:lineRule="atLeast"/>
              <w:jc w:val="center"/>
            </w:pPr>
            <w:r>
              <w:t>AC, 220V±10%/50Hz</w:t>
            </w:r>
          </w:p>
        </w:tc>
      </w:tr>
      <w:tr w14:paraId="65080F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jc w:val="center"/>
        </w:trPr>
        <w:tc>
          <w:tcPr>
            <w:tcW w:w="1980" w:type="dxa"/>
            <w:vMerge w:val="continue"/>
            <w:shd w:val="clear" w:color="auto" w:fill="auto"/>
            <w:vAlign w:val="center"/>
          </w:tcPr>
          <w:p w14:paraId="02ABDA4F">
            <w:pPr>
              <w:jc w:val="left"/>
              <w:rPr>
                <w:rFonts w:ascii="宋体"/>
                <w:sz w:val="24"/>
                <w:szCs w:val="24"/>
              </w:rPr>
            </w:pPr>
          </w:p>
        </w:tc>
        <w:tc>
          <w:tcPr>
            <w:tcW w:w="2985" w:type="dxa"/>
            <w:shd w:val="clear" w:color="auto" w:fill="auto"/>
            <w:vAlign w:val="center"/>
          </w:tcPr>
          <w:p w14:paraId="3F85FCCE">
            <w:pPr>
              <w:pStyle w:val="6"/>
              <w:widowControl/>
              <w:spacing w:beforeAutospacing="0" w:afterAutospacing="0" w:line="324" w:lineRule="atLeast"/>
              <w:jc w:val="center"/>
            </w:pPr>
            <w:r>
              <w:t>Case size (L/W/H)</w:t>
            </w:r>
          </w:p>
        </w:tc>
        <w:tc>
          <w:tcPr>
            <w:tcW w:w="4260" w:type="dxa"/>
            <w:shd w:val="clear" w:color="auto" w:fill="auto"/>
            <w:vAlign w:val="center"/>
          </w:tcPr>
          <w:p w14:paraId="7ACAB89B">
            <w:pPr>
              <w:pStyle w:val="6"/>
              <w:widowControl/>
              <w:spacing w:beforeAutospacing="0" w:afterAutospacing="0" w:line="324" w:lineRule="atLeast"/>
              <w:jc w:val="center"/>
            </w:pPr>
            <w:r>
              <w:t>482x504x132mm</w:t>
            </w:r>
          </w:p>
        </w:tc>
      </w:tr>
    </w:tbl>
    <w:p w14:paraId="2862E9F9">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3B38C109">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41CF68B1">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Optical Signal Parameters</w:t>
      </w:r>
    </w:p>
    <w:p w14:paraId="0D51C6B2">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990"/>
        <w:gridCol w:w="1381"/>
        <w:gridCol w:w="5379"/>
      </w:tblGrid>
      <w:tr w14:paraId="0E74EA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36E26BC9">
            <w:pPr>
              <w:pStyle w:val="6"/>
              <w:widowControl/>
              <w:spacing w:beforeAutospacing="0" w:afterAutospacing="0" w:line="324" w:lineRule="atLeast"/>
              <w:jc w:val="center"/>
            </w:pPr>
            <w:r>
              <w:t>Item</w:t>
            </w:r>
          </w:p>
        </w:tc>
        <w:tc>
          <w:tcPr>
            <w:tcW w:w="1275" w:type="dxa"/>
            <w:shd w:val="clear" w:color="auto" w:fill="auto"/>
            <w:vAlign w:val="center"/>
          </w:tcPr>
          <w:p w14:paraId="0AF1C527">
            <w:pPr>
              <w:pStyle w:val="6"/>
              <w:widowControl/>
              <w:spacing w:beforeAutospacing="0" w:afterAutospacing="0" w:line="324" w:lineRule="atLeast"/>
              <w:jc w:val="center"/>
            </w:pPr>
            <w:r>
              <w:t>Unit</w:t>
            </w:r>
          </w:p>
        </w:tc>
        <w:tc>
          <w:tcPr>
            <w:tcW w:w="4965" w:type="dxa"/>
            <w:shd w:val="clear" w:color="auto" w:fill="auto"/>
            <w:vAlign w:val="center"/>
          </w:tcPr>
          <w:p w14:paraId="401BD50F">
            <w:pPr>
              <w:pStyle w:val="6"/>
              <w:widowControl/>
              <w:spacing w:beforeAutospacing="0" w:afterAutospacing="0" w:line="324" w:lineRule="atLeast"/>
              <w:jc w:val="center"/>
            </w:pPr>
            <w:r>
              <w:t>Technical Specs</w:t>
            </w:r>
          </w:p>
        </w:tc>
      </w:tr>
      <w:tr w14:paraId="1EDBC6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0E8284C5">
            <w:pPr>
              <w:pStyle w:val="6"/>
              <w:widowControl/>
              <w:spacing w:beforeAutospacing="0" w:afterAutospacing="0" w:line="324" w:lineRule="atLeast"/>
            </w:pPr>
            <w:r>
              <w:t>Optical wavelength</w:t>
            </w:r>
          </w:p>
        </w:tc>
        <w:tc>
          <w:tcPr>
            <w:tcW w:w="1275" w:type="dxa"/>
            <w:shd w:val="clear" w:color="auto" w:fill="auto"/>
            <w:vAlign w:val="center"/>
          </w:tcPr>
          <w:p w14:paraId="709A3A30">
            <w:pPr>
              <w:pStyle w:val="6"/>
              <w:widowControl/>
              <w:spacing w:beforeAutospacing="0" w:afterAutospacing="0" w:line="324" w:lineRule="atLeast"/>
              <w:jc w:val="center"/>
            </w:pPr>
            <w:r>
              <w:t>nm</w:t>
            </w:r>
          </w:p>
        </w:tc>
        <w:tc>
          <w:tcPr>
            <w:tcW w:w="4965" w:type="dxa"/>
            <w:shd w:val="clear" w:color="auto" w:fill="auto"/>
            <w:vAlign w:val="center"/>
          </w:tcPr>
          <w:p w14:paraId="32CDB140">
            <w:pPr>
              <w:pStyle w:val="6"/>
              <w:widowControl/>
              <w:spacing w:beforeAutospacing="0" w:afterAutospacing="0" w:line="324" w:lineRule="atLeast"/>
              <w:jc w:val="center"/>
            </w:pPr>
            <w:r>
              <w:t>1100-1600</w:t>
            </w:r>
          </w:p>
        </w:tc>
      </w:tr>
      <w:tr w14:paraId="56D9E5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2BC9E92D">
            <w:pPr>
              <w:pStyle w:val="6"/>
              <w:widowControl/>
              <w:spacing w:beforeAutospacing="0" w:afterAutospacing="0" w:line="324" w:lineRule="atLeast"/>
            </w:pPr>
            <w:r>
              <w:t>nominal optical input power</w:t>
            </w:r>
          </w:p>
        </w:tc>
        <w:tc>
          <w:tcPr>
            <w:tcW w:w="1275" w:type="dxa"/>
            <w:shd w:val="clear" w:color="auto" w:fill="auto"/>
            <w:vAlign w:val="center"/>
          </w:tcPr>
          <w:p w14:paraId="08E774CE">
            <w:pPr>
              <w:pStyle w:val="6"/>
              <w:widowControl/>
              <w:spacing w:beforeAutospacing="0" w:afterAutospacing="0" w:line="324" w:lineRule="atLeast"/>
              <w:jc w:val="center"/>
            </w:pPr>
            <w:r>
              <w:t>dBm</w:t>
            </w:r>
          </w:p>
        </w:tc>
        <w:tc>
          <w:tcPr>
            <w:tcW w:w="4965" w:type="dxa"/>
            <w:shd w:val="clear" w:color="auto" w:fill="auto"/>
            <w:vAlign w:val="center"/>
          </w:tcPr>
          <w:p w14:paraId="47870CF1">
            <w:pPr>
              <w:pStyle w:val="6"/>
              <w:widowControl/>
              <w:spacing w:beforeAutospacing="0" w:afterAutospacing="0" w:line="324" w:lineRule="atLeast"/>
              <w:jc w:val="center"/>
            </w:pPr>
            <w:r>
              <w:t>-1</w:t>
            </w:r>
          </w:p>
        </w:tc>
      </w:tr>
      <w:tr w14:paraId="52E874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39211DFC">
            <w:pPr>
              <w:pStyle w:val="6"/>
              <w:widowControl/>
              <w:spacing w:beforeAutospacing="0" w:afterAutospacing="0" w:line="324" w:lineRule="atLeast"/>
            </w:pPr>
            <w:r>
              <w:t>Input optical power range</w:t>
            </w:r>
          </w:p>
        </w:tc>
        <w:tc>
          <w:tcPr>
            <w:tcW w:w="1275" w:type="dxa"/>
            <w:shd w:val="clear" w:color="auto" w:fill="auto"/>
            <w:vAlign w:val="center"/>
          </w:tcPr>
          <w:p w14:paraId="7EA6A799">
            <w:pPr>
              <w:pStyle w:val="6"/>
              <w:widowControl/>
              <w:spacing w:beforeAutospacing="0" w:afterAutospacing="0" w:line="324" w:lineRule="atLeast"/>
              <w:jc w:val="center"/>
            </w:pPr>
            <w:r>
              <w:t>dBm</w:t>
            </w:r>
          </w:p>
        </w:tc>
        <w:tc>
          <w:tcPr>
            <w:tcW w:w="4965" w:type="dxa"/>
            <w:shd w:val="clear" w:color="auto" w:fill="auto"/>
            <w:vAlign w:val="center"/>
          </w:tcPr>
          <w:p w14:paraId="139DB661">
            <w:pPr>
              <w:pStyle w:val="6"/>
              <w:widowControl/>
              <w:spacing w:beforeAutospacing="0" w:afterAutospacing="0" w:line="324" w:lineRule="atLeast"/>
              <w:jc w:val="center"/>
            </w:pPr>
            <w:r>
              <w:t>-15~+2</w:t>
            </w:r>
          </w:p>
        </w:tc>
      </w:tr>
      <w:tr w14:paraId="3B3F72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41BB1D0F">
            <w:pPr>
              <w:pStyle w:val="6"/>
              <w:widowControl/>
              <w:spacing w:beforeAutospacing="0" w:afterAutospacing="0" w:line="324" w:lineRule="atLeast"/>
            </w:pPr>
            <w:r>
              <w:t>Max input optical power</w:t>
            </w:r>
          </w:p>
        </w:tc>
        <w:tc>
          <w:tcPr>
            <w:tcW w:w="1275" w:type="dxa"/>
            <w:shd w:val="clear" w:color="auto" w:fill="auto"/>
            <w:vAlign w:val="center"/>
          </w:tcPr>
          <w:p w14:paraId="1D008EC6">
            <w:pPr>
              <w:pStyle w:val="6"/>
              <w:widowControl/>
              <w:spacing w:beforeAutospacing="0" w:afterAutospacing="0" w:line="324" w:lineRule="atLeast"/>
              <w:jc w:val="center"/>
            </w:pPr>
            <w:r>
              <w:t>dBm</w:t>
            </w:r>
          </w:p>
        </w:tc>
        <w:tc>
          <w:tcPr>
            <w:tcW w:w="4965" w:type="dxa"/>
            <w:shd w:val="clear" w:color="auto" w:fill="auto"/>
            <w:vAlign w:val="center"/>
          </w:tcPr>
          <w:p w14:paraId="28E9C612">
            <w:pPr>
              <w:pStyle w:val="6"/>
              <w:widowControl/>
              <w:spacing w:beforeAutospacing="0" w:afterAutospacing="0" w:line="324" w:lineRule="atLeast"/>
              <w:jc w:val="center"/>
            </w:pPr>
            <w:r>
              <w:t>+3</w:t>
            </w:r>
          </w:p>
        </w:tc>
      </w:tr>
      <w:tr w14:paraId="02930B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294E61E7">
            <w:pPr>
              <w:pStyle w:val="6"/>
              <w:widowControl/>
              <w:spacing w:beforeAutospacing="0" w:afterAutospacing="0" w:line="324" w:lineRule="atLeast"/>
            </w:pPr>
            <w:r>
              <w:t>Optical interface</w:t>
            </w:r>
          </w:p>
        </w:tc>
        <w:tc>
          <w:tcPr>
            <w:tcW w:w="1275" w:type="dxa"/>
            <w:shd w:val="clear" w:color="auto" w:fill="auto"/>
            <w:vAlign w:val="center"/>
          </w:tcPr>
          <w:p w14:paraId="6B6D1433">
            <w:pPr>
              <w:pStyle w:val="6"/>
              <w:widowControl/>
              <w:spacing w:beforeAutospacing="0" w:afterAutospacing="0" w:line="324" w:lineRule="atLeast"/>
              <w:jc w:val="center"/>
            </w:pPr>
            <w:r>
              <w:t> </w:t>
            </w:r>
          </w:p>
        </w:tc>
        <w:tc>
          <w:tcPr>
            <w:tcW w:w="4965" w:type="dxa"/>
            <w:shd w:val="clear" w:color="auto" w:fill="auto"/>
            <w:vAlign w:val="center"/>
          </w:tcPr>
          <w:p w14:paraId="65E15A7C">
            <w:pPr>
              <w:pStyle w:val="6"/>
              <w:widowControl/>
              <w:spacing w:beforeAutospacing="0" w:afterAutospacing="0" w:line="324" w:lineRule="atLeast"/>
              <w:jc w:val="center"/>
            </w:pPr>
            <w:r>
              <w:t>FC/APC</w:t>
            </w:r>
          </w:p>
        </w:tc>
      </w:tr>
      <w:tr w14:paraId="4CF48B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1B8190B5">
            <w:pPr>
              <w:pStyle w:val="6"/>
              <w:widowControl/>
              <w:spacing w:beforeAutospacing="0" w:afterAutospacing="0" w:line="324" w:lineRule="atLeast"/>
            </w:pPr>
            <w:r>
              <w:t>optical reflection loss</w:t>
            </w:r>
          </w:p>
        </w:tc>
        <w:tc>
          <w:tcPr>
            <w:tcW w:w="1275" w:type="dxa"/>
            <w:shd w:val="clear" w:color="auto" w:fill="auto"/>
            <w:vAlign w:val="center"/>
          </w:tcPr>
          <w:p w14:paraId="1039F440">
            <w:pPr>
              <w:pStyle w:val="6"/>
              <w:widowControl/>
              <w:spacing w:beforeAutospacing="0" w:afterAutospacing="0" w:line="324" w:lineRule="atLeast"/>
              <w:jc w:val="center"/>
            </w:pPr>
            <w:r>
              <w:t>dB</w:t>
            </w:r>
          </w:p>
        </w:tc>
        <w:tc>
          <w:tcPr>
            <w:tcW w:w="4965" w:type="dxa"/>
            <w:shd w:val="clear" w:color="auto" w:fill="auto"/>
            <w:vAlign w:val="center"/>
          </w:tcPr>
          <w:p w14:paraId="7821C833">
            <w:pPr>
              <w:pStyle w:val="6"/>
              <w:widowControl/>
              <w:spacing w:beforeAutospacing="0" w:afterAutospacing="0" w:line="324" w:lineRule="atLeast"/>
              <w:jc w:val="center"/>
            </w:pPr>
            <w:r>
              <w:t>45</w:t>
            </w:r>
          </w:p>
        </w:tc>
      </w:tr>
    </w:tbl>
    <w:p w14:paraId="271897EB">
      <w:pPr>
        <w:pStyle w:val="6"/>
        <w:widowControl/>
        <w:spacing w:beforeAutospacing="0" w:afterAutospacing="0" w:line="324" w:lineRule="atLeast"/>
      </w:pPr>
      <w:r>
        <w:rPr>
          <w:rFonts w:ascii="Verdana" w:hAnsi="Verdana" w:cs="Verdana"/>
          <w:color w:val="333333"/>
          <w:sz w:val="18"/>
          <w:szCs w:val="18"/>
          <w:shd w:val="clear" w:color="auto" w:fill="FEFCFD"/>
        </w:rPr>
        <w:t> </w:t>
      </w:r>
    </w:p>
    <w:p w14:paraId="547C7740">
      <w:pPr>
        <w:pStyle w:val="6"/>
        <w:widowControl/>
        <w:spacing w:beforeAutospacing="0" w:afterAutospacing="0" w:line="324" w:lineRule="atLeast"/>
        <w:ind w:left="320"/>
      </w:pPr>
      <w:r>
        <w:rPr>
          <w:rFonts w:ascii="Verdana" w:hAnsi="Verdana" w:cs="Verdana"/>
          <w:color w:val="333333"/>
          <w:sz w:val="18"/>
          <w:szCs w:val="18"/>
          <w:shd w:val="clear" w:color="auto" w:fill="FEFCFD"/>
        </w:rPr>
        <w:t> </w:t>
      </w:r>
    </w:p>
    <w:p w14:paraId="043B8B72">
      <w:pPr>
        <w:pStyle w:val="6"/>
        <w:widowControl/>
        <w:spacing w:beforeAutospacing="0" w:afterAutospacing="0" w:line="324" w:lineRule="atLeast"/>
      </w:pPr>
      <w:r>
        <w:rPr>
          <w:rFonts w:ascii="Verdana" w:hAnsi="Verdana" w:cs="Verdana"/>
          <w:color w:val="333333"/>
          <w:sz w:val="18"/>
          <w:szCs w:val="18"/>
          <w:shd w:val="clear" w:color="auto" w:fill="FEFCFD"/>
        </w:rPr>
        <w:t> </w:t>
      </w:r>
    </w:p>
    <w:p w14:paraId="72378915">
      <w:pPr>
        <w:pStyle w:val="6"/>
        <w:widowControl/>
        <w:spacing w:beforeAutospacing="0" w:afterAutospacing="0" w:line="324" w:lineRule="atLeast"/>
      </w:pPr>
      <w:r>
        <w:rPr>
          <w:rFonts w:ascii="Verdana" w:hAnsi="Verdana" w:cs="Verdana"/>
          <w:color w:val="333333"/>
          <w:sz w:val="18"/>
          <w:szCs w:val="18"/>
          <w:shd w:val="clear" w:color="auto" w:fill="FEFCFD"/>
        </w:rPr>
        <w:t> </w:t>
      </w:r>
    </w:p>
    <w:p w14:paraId="0DA2045C">
      <w:pPr>
        <w:widowControl/>
        <w:shd w:val="clear" w:color="auto" w:fill="F2F2F4"/>
        <w:jc w:val="left"/>
        <w:rPr>
          <w:rFonts w:ascii="Verdana" w:hAnsi="Verdana" w:cs="Verdana"/>
          <w:color w:val="333333"/>
          <w:sz w:val="18"/>
          <w:szCs w:val="18"/>
        </w:rPr>
      </w:pPr>
    </w:p>
    <w:p w14:paraId="0904A87F">
      <w:pPr>
        <w:rPr>
          <w:rFonts w:ascii="Verdana" w:hAnsi="Verdana" w:cs="Verdana"/>
          <w:color w:val="000000"/>
          <w:sz w:val="28"/>
        </w:rPr>
      </w:pPr>
    </w:p>
    <w:p w14:paraId="7AF8669F">
      <w:pPr>
        <w:rPr>
          <w:rFonts w:ascii="Verdana" w:hAnsi="Verdana" w:cs="Verdana"/>
          <w:b/>
          <w:color w:val="000000"/>
          <w:sz w:val="22"/>
        </w:rPr>
      </w:pPr>
      <w:r>
        <w:rPr>
          <w:rFonts w:hint="eastAsia" w:ascii="Verdana" w:hAnsi="Verdana" w:cs="Verdana"/>
          <w:b/>
          <w:color w:val="000000"/>
          <w:sz w:val="22"/>
        </w:rPr>
        <w:t>About Us</w:t>
      </w:r>
    </w:p>
    <w:p w14:paraId="2BF18C0D">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C451E31">
      <w:pPr>
        <w:rPr>
          <w:rFonts w:ascii="Verdana" w:hAnsi="Verdana" w:cs="Verdana"/>
          <w:color w:val="000000"/>
          <w:sz w:val="18"/>
        </w:rPr>
      </w:pPr>
    </w:p>
    <w:p w14:paraId="5BDEBCF5">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4033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0F5FD8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ED8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C5FC8"/>
    <w:rsid w:val="00622ACE"/>
    <w:rsid w:val="00665764"/>
    <w:rsid w:val="006F69CB"/>
    <w:rsid w:val="00731840"/>
    <w:rsid w:val="007349B0"/>
    <w:rsid w:val="007359E2"/>
    <w:rsid w:val="0077681E"/>
    <w:rsid w:val="007F0F41"/>
    <w:rsid w:val="008D6808"/>
    <w:rsid w:val="00952937"/>
    <w:rsid w:val="00A16F8C"/>
    <w:rsid w:val="00A35CEF"/>
    <w:rsid w:val="00AE759F"/>
    <w:rsid w:val="00AF7C10"/>
    <w:rsid w:val="00B11FEF"/>
    <w:rsid w:val="00B4381C"/>
    <w:rsid w:val="00B539FF"/>
    <w:rsid w:val="00B56E04"/>
    <w:rsid w:val="00BD4043"/>
    <w:rsid w:val="00C44FAF"/>
    <w:rsid w:val="00CF604B"/>
    <w:rsid w:val="00D24477"/>
    <w:rsid w:val="00F268A0"/>
    <w:rsid w:val="00F714FF"/>
    <w:rsid w:val="00F7593F"/>
    <w:rsid w:val="00FC60FC"/>
    <w:rsid w:val="033D434A"/>
    <w:rsid w:val="0A680B1B"/>
    <w:rsid w:val="0E714EC9"/>
    <w:rsid w:val="0FC87CEA"/>
    <w:rsid w:val="101C4557"/>
    <w:rsid w:val="15C25510"/>
    <w:rsid w:val="18AE427D"/>
    <w:rsid w:val="18E81EA3"/>
    <w:rsid w:val="190C2035"/>
    <w:rsid w:val="1B974A15"/>
    <w:rsid w:val="1CDC4CA0"/>
    <w:rsid w:val="1FCC39C5"/>
    <w:rsid w:val="20F61905"/>
    <w:rsid w:val="2199682E"/>
    <w:rsid w:val="239E3C7B"/>
    <w:rsid w:val="252B6F8F"/>
    <w:rsid w:val="268A3B59"/>
    <w:rsid w:val="27B55639"/>
    <w:rsid w:val="29A61E39"/>
    <w:rsid w:val="29B14749"/>
    <w:rsid w:val="29FC079F"/>
    <w:rsid w:val="2A752F8B"/>
    <w:rsid w:val="2C665CEA"/>
    <w:rsid w:val="2E0F6BE8"/>
    <w:rsid w:val="314F3E41"/>
    <w:rsid w:val="3B533162"/>
    <w:rsid w:val="3C7C41B3"/>
    <w:rsid w:val="45872050"/>
    <w:rsid w:val="478E224E"/>
    <w:rsid w:val="485E04E5"/>
    <w:rsid w:val="487316FE"/>
    <w:rsid w:val="49B75FAC"/>
    <w:rsid w:val="4B0107A7"/>
    <w:rsid w:val="4E4A4BF6"/>
    <w:rsid w:val="4F8D25ED"/>
    <w:rsid w:val="51AD130D"/>
    <w:rsid w:val="540A3FAB"/>
    <w:rsid w:val="562E484B"/>
    <w:rsid w:val="56834992"/>
    <w:rsid w:val="5930748A"/>
    <w:rsid w:val="59933671"/>
    <w:rsid w:val="5AA83521"/>
    <w:rsid w:val="5EEA5249"/>
    <w:rsid w:val="5FE47529"/>
    <w:rsid w:val="609213A6"/>
    <w:rsid w:val="61BA6334"/>
    <w:rsid w:val="63C27F07"/>
    <w:rsid w:val="68AD6386"/>
    <w:rsid w:val="6D7A6503"/>
    <w:rsid w:val="70757613"/>
    <w:rsid w:val="70B756B4"/>
    <w:rsid w:val="70E60B65"/>
    <w:rsid w:val="73270F88"/>
    <w:rsid w:val="74455F31"/>
    <w:rsid w:val="7540100C"/>
    <w:rsid w:val="77935A18"/>
    <w:rsid w:val="786E00F2"/>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243</Words>
  <Characters>1508</Characters>
  <Lines>28</Lines>
  <Paragraphs>8</Paragraphs>
  <TotalTime>0</TotalTime>
  <ScaleCrop>false</ScaleCrop>
  <LinksUpToDate>false</LinksUpToDate>
  <CharactersWithSpaces>1721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2026-08-11T06:30:23Z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