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08331">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2"/>
          <w:lang w:eastAsia="zh-CN"/>
        </w:rPr>
        <w:t>FMUSER FUQ-B EPG Server 2044 TS Inputs ATSC-Compliant IP Output Client-Service Mode 16-Day EIT Digital 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Broadcasting</w:t>
      </w:r>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EPGA"/>
            <wp:cNvGraphicFramePr/>
            <a:graphic xmlns:a="http://schemas.openxmlformats.org/drawingml/2006/main">
              <a:graphicData uri="http://schemas.openxmlformats.org/drawingml/2006/picture">
                <pic:pic xmlns:pic="http://schemas.openxmlformats.org/drawingml/2006/picture">
                  <pic:nvPicPr>
                    <pic:cNvPr id="1" name="图片 1" descr="EPGA"/>
                    <pic:cNvPicPr/>
                  </pic:nvPicPr>
                  <pic:blipFill>
                    <a:blip r:embed="rId6"/>
                    <a:stretch>
                      <a:fillRect/>
                    </a:stretch>
                  </pic:blipFill>
                  <pic:spPr>
                    <a:xfrm>
                      <a:off x="0" y="0"/>
                      <a:ext cx="6181725" cy="3400425"/>
                    </a:xfrm>
                    <a:prstGeom prst="rect">
                      <a:avLst/>
                    </a:prstGeom>
                  </pic:spPr>
                </pic:pic>
              </a:graphicData>
            </a:graphic>
          </wp:inline>
        </w:drawing>
      </w:r>
    </w:p>
    <w:p w14:paraId="314897BC">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i w:val="0"/>
          <w:iCs w:val="0"/>
          <w:caps w:val="0"/>
          <w:color w:val="333333"/>
          <w:spacing w:val="0"/>
          <w:sz w:val="18"/>
          <w:szCs w:val="18"/>
          <w:shd w:val="clear" w:fill="FEFCFD"/>
        </w:rPr>
        <w:t>Product Overview</w:t>
      </w:r>
      <w:r>
        <w:rPr>
          <w:rFonts w:ascii="Verdana" w:hAnsi="Verdana" w:cs="Verdana"/>
          <w:color w:val="333333"/>
          <w:sz w:val="18"/>
          <w:szCs w:val="18"/>
          <w:shd w:val="clear" w:color="auto" w:fill="FEFCFD"/>
        </w:rPr>
        <w:t> </w:t>
      </w:r>
    </w:p>
    <w:p w14:paraId="2DAA21BF">
      <w:pPr>
        <w:pStyle w:val="6"/>
        <w:widowControl/>
        <w:shd w:val="clear" w:color="auto" w:fill="FEFCFD"/>
        <w:spacing w:beforeAutospacing="0" w:afterAutospacing="0" w:line="315" w:lineRule="atLeast"/>
        <w:rPr>
          <w:rFonts w:ascii="Verdana" w:hAnsi="Verdana" w:cs="Verdana"/>
          <w:color w:val="333333"/>
        </w:rPr>
      </w:pPr>
      <w:r>
        <w:rPr>
          <w:rFonts w:hint="eastAsia" w:ascii="Verdana" w:hAnsi="Verdana" w:cs="Verdana"/>
          <w:color w:val="333333"/>
          <w:sz w:val="18"/>
          <w:szCs w:val="18"/>
          <w:shd w:val="clear" w:color="auto" w:fill="FEFCFD"/>
          <w:lang w:eastAsia="zh-CN"/>
        </w:rPr>
        <w:t>The FMUSER FUQ-B System is an ATSC-compliant electronic program guide solution supporting 2044 transport streams and 69,905 programs. It generates PSI/SI standard tables with private descriptor support through Client/Service System mode. The 1U rack-mount unit features web-based control and supports 16-day EIT events. Ideal for digital TV headends, cable operators, and IPTV service providers requiring compliant EPG management.</w:t>
      </w:r>
      <w:r>
        <w:rPr>
          <w:rFonts w:ascii="Verdana" w:hAnsi="Verdana" w:cs="Verdana"/>
          <w:color w:val="333333"/>
          <w:sz w:val="18"/>
          <w:szCs w:val="18"/>
          <w:shd w:val="clear" w:color="auto" w:fill="FEFCFD"/>
        </w:rPr>
        <w:t>  </w:t>
      </w:r>
    </w:p>
    <w:p w14:paraId="375064E6">
      <w:pPr>
        <w:pStyle w:val="6"/>
        <w:widowControl/>
        <w:shd w:val="clear" w:color="auto" w:fill="FEFCFD"/>
        <w:spacing w:beforeAutospacing="0" w:afterAutospacing="0" w:line="315" w:lineRule="atLeast"/>
        <w:rPr>
          <w:rFonts w:ascii="Verdana" w:hAnsi="Verdana" w:cs="Verdana"/>
          <w:color w:val="333333"/>
        </w:rPr>
      </w:pPr>
      <w:r>
        <w:rPr>
          <w:rFonts w:hint="eastAsia" w:ascii="Verdana" w:hAnsi="Verdana" w:cs="Verdana"/>
          <w:b/>
          <w:bCs/>
          <w:color w:val="333333"/>
          <w:szCs w:val="24"/>
          <w:shd w:val="clear" w:color="auto" w:fill="FEFCFD"/>
          <w:lang w:eastAsia="zh-CN"/>
        </w:rPr>
        <w:t>Key feature</w:t>
      </w:r>
    </w:p>
    <w:p w14:paraId="6BCBAD3F">
      <w:pPr>
        <w:pStyle w:val="6"/>
        <w:widowControl/>
        <w:spacing w:beforeAutospacing="0" w:afterAutospacing="0" w:line="324" w:lineRule="atLeast"/>
      </w:pPr>
      <w:r>
        <w:rPr>
          <w:rFonts w:ascii="Verdana" w:hAnsi="Verdana" w:cs="Verdana"/>
          <w:color w:val="333333"/>
          <w:sz w:val="18"/>
          <w:szCs w:val="18"/>
          <w:shd w:val="clear" w:color="auto" w:fill="FEFCFD"/>
        </w:rPr>
        <w:t> </w:t>
      </w:r>
      <w:r>
        <w:rPr>
          <w:rFonts w:hint="eastAsia" w:ascii="Verdana" w:hAnsi="Verdana" w:cs="Verdana"/>
          <w:color w:val="333333"/>
          <w:sz w:val="18"/>
          <w:szCs w:val="18"/>
          <w:shd w:val="clear" w:color="auto" w:fill="FEFCFD"/>
        </w:rPr>
        <w:t>Web-based control interface for remote configuration</w:t>
      </w:r>
      <w:r>
        <w:rPr>
          <w:rFonts w:ascii="Verdana" w:hAnsi="Verdana" w:cs="Verdana"/>
          <w:color w:val="333333"/>
          <w:sz w:val="18"/>
          <w:szCs w:val="18"/>
          <w:shd w:val="clear" w:color="auto" w:fill="FEFCFD"/>
        </w:rPr>
        <w:t> </w:t>
      </w:r>
    </w:p>
    <w:p w14:paraId="468A9AB0">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07DC54AB">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333333"/>
          <w:szCs w:val="24"/>
          <w:shd w:val="clear" w:color="auto" w:fill="FEFCFD"/>
        </w:rPr>
        <w:t>Inner Principle</w:t>
      </w:r>
    </w:p>
    <w:p w14:paraId="5D82841F">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176ED757">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drawing>
          <wp:inline distT="0" distB="0" distL="114300" distR="114300">
            <wp:extent cx="6186170" cy="1826895"/>
            <wp:effectExtent l="0" t="0" r="5080" b="190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6170" cy="1826895"/>
                    </a:xfrm>
                    <a:prstGeom prst="rect">
                      <a:avLst/>
                    </a:prstGeom>
                    <a:noFill/>
                    <a:ln w="9525">
                      <a:noFill/>
                    </a:ln>
                  </pic:spPr>
                </pic:pic>
              </a:graphicData>
            </a:graphic>
          </wp:inline>
        </w:drawing>
      </w:r>
    </w:p>
    <w:p w14:paraId="0A811862">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38344F6E">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3AA177F3">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333333"/>
          <w:szCs w:val="24"/>
          <w:shd w:val="clear" w:color="auto" w:fill="FEFCFD"/>
        </w:rPr>
        <w:t>Solution Guide</w:t>
      </w:r>
    </w:p>
    <w:p w14:paraId="11A24B03">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59C1F015">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drawing>
          <wp:inline distT="0" distB="0" distL="114300" distR="114300">
            <wp:extent cx="6187440" cy="3093720"/>
            <wp:effectExtent l="0" t="0" r="3810" b="1143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3093720"/>
                    </a:xfrm>
                    <a:prstGeom prst="rect">
                      <a:avLst/>
                    </a:prstGeom>
                    <a:noFill/>
                    <a:ln w="9525">
                      <a:noFill/>
                    </a:ln>
                  </pic:spPr>
                </pic:pic>
              </a:graphicData>
            </a:graphic>
          </wp:inline>
        </w:drawing>
      </w:r>
    </w:p>
    <w:p w14:paraId="416BF0AA">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635ECB3E">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695FF883">
      <w:pPr>
        <w:pStyle w:val="6"/>
        <w:widowControl/>
        <w:shd w:val="clear" w:color="auto" w:fill="FEFCFD"/>
        <w:spacing w:beforeAutospacing="0" w:afterAutospacing="0" w:line="315" w:lineRule="atLeast"/>
        <w:rPr>
          <w:rFonts w:ascii="Verdana" w:hAnsi="Verdana" w:cs="Verdana"/>
          <w:color w:val="333333"/>
        </w:rPr>
      </w:pPr>
      <w:r>
        <w:rPr>
          <w:rStyle w:val="10"/>
          <w:rFonts w:ascii="Verdana" w:hAnsi="Verdana" w:cs="Verdana"/>
          <w:color w:val="333333"/>
          <w:szCs w:val="24"/>
          <w:shd w:val="clear" w:color="auto" w:fill="FEFCFD"/>
        </w:rPr>
        <w:t>Main Function</w:t>
      </w:r>
    </w:p>
    <w:p w14:paraId="26602C09">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1384E91D">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drawing>
          <wp:inline distT="0" distB="0" distL="114300" distR="114300">
            <wp:extent cx="6181090" cy="2747645"/>
            <wp:effectExtent l="0" t="0" r="10160" b="1460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1090" cy="2747645"/>
                    </a:xfrm>
                    <a:prstGeom prst="rect">
                      <a:avLst/>
                    </a:prstGeom>
                    <a:noFill/>
                    <a:ln w="9525">
                      <a:noFill/>
                    </a:ln>
                  </pic:spPr>
                </pic:pic>
              </a:graphicData>
            </a:graphic>
          </wp:inline>
        </w:drawing>
      </w:r>
    </w:p>
    <w:p w14:paraId="79FC1DF1">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5F0F1A7A">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7F0B5198">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b/>
          <w:bCs/>
          <w:color w:val="333333"/>
          <w:szCs w:val="24"/>
          <w:shd w:val="clear" w:color="auto" w:fill="FEFCFD"/>
        </w:rPr>
        <w:t>Running Specs</w:t>
      </w:r>
    </w:p>
    <w:p w14:paraId="142D367C">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0FA04AED">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b/>
          <w:bCs/>
          <w:color w:val="333333"/>
          <w:szCs w:val="24"/>
          <w:shd w:val="clear" w:color="auto" w:fill="FEFCFD"/>
        </w:rPr>
        <w:drawing>
          <wp:inline distT="0" distB="0" distL="114300" distR="114300">
            <wp:extent cx="6178550" cy="2279015"/>
            <wp:effectExtent l="0" t="0" r="12700" b="6985"/>
            <wp:docPr id="7"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14"/>
                    <a:stretch>
                      <a:fillRect/>
                    </a:stretch>
                  </pic:blipFill>
                  <pic:spPr>
                    <a:xfrm>
                      <a:off x="0" y="0"/>
                      <a:ext cx="6178550" cy="2279015"/>
                    </a:xfrm>
                    <a:prstGeom prst="rect">
                      <a:avLst/>
                    </a:prstGeom>
                    <a:noFill/>
                    <a:ln w="9525">
                      <a:noFill/>
                    </a:ln>
                  </pic:spPr>
                </pic:pic>
              </a:graphicData>
            </a:graphic>
          </wp:inline>
        </w:drawing>
      </w:r>
    </w:p>
    <w:p w14:paraId="73F89208">
      <w:pPr>
        <w:pStyle w:val="6"/>
        <w:widowControl/>
        <w:shd w:val="clear" w:color="auto" w:fill="FEFCFD"/>
        <w:spacing w:beforeAutospacing="0" w:afterAutospacing="0" w:line="315" w:lineRule="atLeast"/>
        <w:rPr>
          <w:rFonts w:ascii="Verdana" w:hAnsi="Verdana" w:cs="Verdana"/>
          <w:color w:val="333333"/>
        </w:rPr>
      </w:pPr>
      <w:r>
        <w:rPr>
          <w:rFonts w:ascii="Verdana" w:hAnsi="Verdana" w:cs="Verdana"/>
          <w:color w:val="333333"/>
          <w:sz w:val="18"/>
          <w:szCs w:val="18"/>
          <w:shd w:val="clear" w:color="auto" w:fill="FEFCFD"/>
        </w:rPr>
        <w:t> </w:t>
      </w:r>
    </w:p>
    <w:p w14:paraId="69D38CC1">
      <w:pPr>
        <w:pStyle w:val="6"/>
        <w:widowControl/>
        <w:spacing w:beforeAutospacing="0" w:afterAutospacing="0" w:line="324" w:lineRule="atLeast"/>
      </w:pPr>
      <w:r>
        <w:rPr>
          <w:rFonts w:ascii="Verdana" w:hAnsi="Verdana" w:cs="Verdana"/>
          <w:color w:val="333333"/>
          <w:sz w:val="18"/>
          <w:szCs w:val="18"/>
          <w:shd w:val="clear" w:color="auto" w:fill="FEFCFD"/>
        </w:rPr>
        <w:t> </w:t>
      </w:r>
    </w:p>
    <w:p w14:paraId="1CA3E8C5">
      <w:pPr>
        <w:widowControl/>
        <w:shd w:val="clear" w:color="auto" w:fill="F2F2F4"/>
        <w:jc w:val="left"/>
        <w:rPr>
          <w:rFonts w:ascii="Verdana" w:hAnsi="Verdana" w:cs="Verdana"/>
          <w:color w:val="333333"/>
          <w:sz w:val="18"/>
          <w:szCs w:val="18"/>
        </w:rPr>
      </w:pPr>
    </w:p>
    <w:p w14:paraId="48F721B7">
      <w:pPr>
        <w:rPr>
          <w:rFonts w:ascii="Verdana" w:hAnsi="Verdana" w:cs="Verdana"/>
          <w:color w:val="000000"/>
          <w:sz w:val="28"/>
        </w:rPr>
      </w:pPr>
    </w:p>
    <w:p w14:paraId="40CB8ACB">
      <w:pPr>
        <w:rPr>
          <w:rFonts w:ascii="Verdana" w:hAnsi="Verdana" w:cs="Verdana"/>
          <w:b/>
          <w:color w:val="000000"/>
          <w:sz w:val="22"/>
        </w:rPr>
      </w:pPr>
      <w:r>
        <w:rPr>
          <w:rFonts w:hint="eastAsia" w:ascii="Verdana" w:hAnsi="Verdana" w:cs="Verdana"/>
          <w:b/>
          <w:color w:val="000000"/>
          <w:sz w:val="22"/>
        </w:rPr>
        <w:t>About Us</w:t>
      </w:r>
    </w:p>
    <w:p w14:paraId="5A034B1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21B68B0">
      <w:pPr>
        <w:rPr>
          <w:rFonts w:ascii="Verdana" w:hAnsi="Verdana" w:cs="Verdana"/>
          <w:color w:val="000000"/>
          <w:sz w:val="18"/>
        </w:rPr>
      </w:pPr>
    </w:p>
    <w:p w14:paraId="57867811">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9EE1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03F280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B4C5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D7CB1"/>
    <w:rsid w:val="00323988"/>
    <w:rsid w:val="003743F3"/>
    <w:rsid w:val="003F2047"/>
    <w:rsid w:val="00444478"/>
    <w:rsid w:val="00453C05"/>
    <w:rsid w:val="00465307"/>
    <w:rsid w:val="0049468E"/>
    <w:rsid w:val="004C13A4"/>
    <w:rsid w:val="00622ACE"/>
    <w:rsid w:val="00665764"/>
    <w:rsid w:val="00731840"/>
    <w:rsid w:val="007349B0"/>
    <w:rsid w:val="007359E2"/>
    <w:rsid w:val="0077681E"/>
    <w:rsid w:val="008D6808"/>
    <w:rsid w:val="00935F14"/>
    <w:rsid w:val="00952937"/>
    <w:rsid w:val="00A16F8C"/>
    <w:rsid w:val="00A35CEF"/>
    <w:rsid w:val="00AE759F"/>
    <w:rsid w:val="00AF7C10"/>
    <w:rsid w:val="00B11FEF"/>
    <w:rsid w:val="00B4381C"/>
    <w:rsid w:val="00B539FF"/>
    <w:rsid w:val="00B56E04"/>
    <w:rsid w:val="00BD4043"/>
    <w:rsid w:val="00C44FAF"/>
    <w:rsid w:val="00D24477"/>
    <w:rsid w:val="00DC7BE1"/>
    <w:rsid w:val="00F268A0"/>
    <w:rsid w:val="00F714FF"/>
    <w:rsid w:val="00F7593F"/>
    <w:rsid w:val="00FC60FC"/>
    <w:rsid w:val="02C24E40"/>
    <w:rsid w:val="033D434A"/>
    <w:rsid w:val="0496311D"/>
    <w:rsid w:val="0A680B1B"/>
    <w:rsid w:val="0DF552D6"/>
    <w:rsid w:val="0E714EC9"/>
    <w:rsid w:val="0FC87CEA"/>
    <w:rsid w:val="101C4557"/>
    <w:rsid w:val="15C25510"/>
    <w:rsid w:val="187F4FBF"/>
    <w:rsid w:val="18AE427D"/>
    <w:rsid w:val="18E81EA3"/>
    <w:rsid w:val="1B974A15"/>
    <w:rsid w:val="1CDC4CA0"/>
    <w:rsid w:val="1FCC39C5"/>
    <w:rsid w:val="20F61905"/>
    <w:rsid w:val="2199682E"/>
    <w:rsid w:val="239E3C7B"/>
    <w:rsid w:val="2534281F"/>
    <w:rsid w:val="27B55639"/>
    <w:rsid w:val="2A752F8B"/>
    <w:rsid w:val="2C665CEA"/>
    <w:rsid w:val="2E0F6BE8"/>
    <w:rsid w:val="314F3E41"/>
    <w:rsid w:val="33B0128E"/>
    <w:rsid w:val="3B533162"/>
    <w:rsid w:val="45872050"/>
    <w:rsid w:val="478E224E"/>
    <w:rsid w:val="485E04E5"/>
    <w:rsid w:val="487316FE"/>
    <w:rsid w:val="488D4589"/>
    <w:rsid w:val="49B75FAC"/>
    <w:rsid w:val="4E4A4BF6"/>
    <w:rsid w:val="4F8D25ED"/>
    <w:rsid w:val="51AD130D"/>
    <w:rsid w:val="531B440C"/>
    <w:rsid w:val="540A3FAB"/>
    <w:rsid w:val="54572102"/>
    <w:rsid w:val="562E484B"/>
    <w:rsid w:val="56834992"/>
    <w:rsid w:val="57EF54ED"/>
    <w:rsid w:val="5930748A"/>
    <w:rsid w:val="59933671"/>
    <w:rsid w:val="5AA83521"/>
    <w:rsid w:val="5E537FA4"/>
    <w:rsid w:val="5EEA5249"/>
    <w:rsid w:val="609213A6"/>
    <w:rsid w:val="61BA6334"/>
    <w:rsid w:val="63C27F07"/>
    <w:rsid w:val="68AD6386"/>
    <w:rsid w:val="6D7A6503"/>
    <w:rsid w:val="70757613"/>
    <w:rsid w:val="70B756B4"/>
    <w:rsid w:val="73270F88"/>
    <w:rsid w:val="74455F31"/>
    <w:rsid w:val="7540100C"/>
    <w:rsid w:val="77935A18"/>
    <w:rsid w:val="7B8E7427"/>
    <w:rsid w:val="7C492B81"/>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oftware/EPG/3EEECN_20140121061410.jpg" TargetMode="External"/><Relationship Id="rId8" Type="http://schemas.openxmlformats.org/officeDocument/2006/relationships/image" Target="media/image3.jpeg"/><Relationship Id="rId7" Type="http://schemas.openxmlformats.org/officeDocument/2006/relationships/hyperlink" Target="https://english.dsdvb.com/Upload/images/Product/Software/EPG/3EEECN_2014012106133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hyperlink" Target="https://english.dsdvb.com/Upload/images/Product/Software/EPG/3EEECN_20140121061442.jpg" TargetMode="External"/><Relationship Id="rId12" Type="http://schemas.openxmlformats.org/officeDocument/2006/relationships/image" Target="media/image5.jpeg"/><Relationship Id="rId11" Type="http://schemas.openxmlformats.org/officeDocument/2006/relationships/hyperlink" Target="https://english.dsdvb.com/Upload/images/Product/Software/EPG/3EEECN_2014012106170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142</Words>
  <Characters>917</Characters>
  <Lines>11</Lines>
  <Paragraphs>3</Paragraphs>
  <TotalTime>0</TotalTime>
  <ScaleCrop>false</ScaleCrop>
  <LinksUpToDate>false</LinksUpToDate>
  <CharactersWithSpaces>1075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2025-08-20T07:56:15Z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